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left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pStyle w:val="14"/>
        <w:ind w:firstLine="880"/>
        <w:jc w:val="center"/>
        <w:rPr>
          <w:rFonts w:ascii="华文中宋" w:hAnsi="华文中宋" w:eastAsia="华文中宋" w:cs="华文中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pStyle w:val="14"/>
        <w:ind w:firstLine="880"/>
        <w:jc w:val="center"/>
        <w:rPr>
          <w:rFonts w:ascii="华文中宋" w:hAnsi="华文中宋" w:eastAsia="华文中宋" w:cs="华文中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pStyle w:val="14"/>
        <w:ind w:firstLine="0" w:firstLineChars="0"/>
        <w:rPr>
          <w:rFonts w:ascii="华文中宋" w:hAnsi="华文中宋" w:eastAsia="华文中宋" w:cs="华文中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pStyle w:val="14"/>
        <w:ind w:firstLine="880"/>
        <w:jc w:val="center"/>
        <w:rPr>
          <w:rFonts w:ascii="华文中宋" w:hAnsi="华文中宋" w:eastAsia="华文中宋" w:cs="华文中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pStyle w:val="14"/>
        <w:ind w:firstLine="0" w:firstLineChars="0"/>
        <w:jc w:val="center"/>
        <w:rPr>
          <w:rFonts w:ascii="华文中宋" w:hAnsi="华文中宋" w:eastAsia="华文中宋" w:cs="华文中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26" w:name="_GoBack"/>
      <w:r>
        <w:rPr>
          <w:rFonts w:hint="eastAsia" w:ascii="华文中宋" w:hAnsi="华文中宋" w:eastAsia="华文中宋" w:cs="华文中宋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职业技能线上培训数字资源质量规范</w:t>
      </w:r>
    </w:p>
    <w:bookmarkEnd w:id="26"/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ind w:firstLine="0" w:firstLineChars="0"/>
        <w:jc w:val="center"/>
        <w:rPr>
          <w:rFonts w:ascii="楷体_GB2312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eastAsia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楷体_GB2312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</w:p>
    <w:p>
      <w:pPr>
        <w:sectPr>
          <w:footerReference r:id="rId5" w:type="first"/>
          <w:headerReference r:id="rId3" w:type="default"/>
          <w:footerReference r:id="rId4" w:type="default"/>
          <w:pgSz w:w="11906" w:h="16838"/>
          <w:pgMar w:top="1440" w:right="1800" w:bottom="1440" w:left="1800" w:header="1134" w:footer="1417" w:gutter="0"/>
          <w:pgNumType w:fmt="decimal"/>
          <w:cols w:space="425" w:num="1"/>
          <w:titlePg/>
          <w:docGrid w:type="lines" w:linePitch="326" w:charSpace="0"/>
        </w:sectPr>
      </w:pPr>
    </w:p>
    <w:p>
      <w:pPr>
        <w:pStyle w:val="15"/>
        <w:rPr>
          <w:rFonts w:eastAsia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目</w:t>
      </w:r>
      <w:r>
        <w:rPr>
          <w:rFonts w:hint="eastAsia" w:ascii="MS Mincho" w:hAnsi="MS Mincho" w:cs="MS Mincho" w:eastAsiaTheme="minorEastAsia"/>
          <w:color w:val="000000" w:themeColor="text1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hAnsi="黑体" w:cs="MS Mincho"/>
          <w:color w:val="000000" w:themeColor="text1"/>
          <w14:textFill>
            <w14:solidFill>
              <w14:schemeClr w14:val="tx1"/>
            </w14:solidFill>
          </w14:textFill>
        </w:rPr>
        <w:t>录</w:t>
      </w:r>
    </w:p>
    <w:p>
      <w:pPr>
        <w:pStyle w:val="5"/>
        <w:tabs>
          <w:tab w:val="right" w:leader="dot" w:pos="8296"/>
        </w:tabs>
        <w:rPr>
          <w:rFonts w:asciiTheme="minorHAnsi" w:hAnsiTheme="minorHAnsi" w:eastAsiaTheme="minorEastAsia" w:cstheme="minorBidi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TOC \h \z \t "前言、引言标题,1,参考文献、索引标题,1,章标题,1,参考文献,1,附录标识,1,一级条标题,3" </w:instrTex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fldChar w:fldCharType="begin"/>
      </w:r>
      <w:r>
        <w:instrText xml:space="preserve"> HYPERLINK \l "_Toc152595530" </w:instrText>
      </w:r>
      <w:r>
        <w:fldChar w:fldCharType="separate"/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1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适用范围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_Toc152595530 \h </w:instrTex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17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"/>
        <w:tabs>
          <w:tab w:val="right" w:leader="dot" w:pos="8296"/>
        </w:tabs>
        <w:rPr>
          <w:rFonts w:asciiTheme="minorHAnsi" w:hAnsiTheme="minorHAnsi" w:eastAsiaTheme="minorEastAsia" w:cstheme="minorBidi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fldChar w:fldCharType="begin"/>
      </w:r>
      <w:r>
        <w:instrText xml:space="preserve"> HYPERLINK \l "_Toc152595531" </w:instrText>
      </w:r>
      <w:r>
        <w:fldChar w:fldCharType="separate"/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2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规范性引用文件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_Toc152595531 \h </w:instrTex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17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"/>
        <w:tabs>
          <w:tab w:val="right" w:leader="dot" w:pos="8296"/>
        </w:tabs>
        <w:rPr>
          <w:rFonts w:asciiTheme="minorHAnsi" w:hAnsiTheme="minorHAnsi" w:eastAsiaTheme="minorEastAsia" w:cstheme="minorBidi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fldChar w:fldCharType="begin"/>
      </w:r>
      <w:r>
        <w:instrText xml:space="preserve"> HYPERLINK \l "_Toc152595532" </w:instrText>
      </w:r>
      <w:r>
        <w:fldChar w:fldCharType="separate"/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3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资源关键要素及要求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_Toc152595532 \h </w:instrTex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17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2"/>
        <w:tabs>
          <w:tab w:val="right" w:leader="dot" w:pos="8296"/>
        </w:tabs>
        <w:ind w:left="960"/>
        <w:rPr>
          <w:rFonts w:cstheme="minorBidi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fldChar w:fldCharType="begin"/>
      </w:r>
      <w:r>
        <w:instrText xml:space="preserve"> HYPERLINK \l "_Toc152595533" </w:instrText>
      </w:r>
      <w:r>
        <w:fldChar w:fldCharType="separate"/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3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.</w:t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1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资源目标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_Toc152595533 \h </w:instrTex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17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2"/>
        <w:tabs>
          <w:tab w:val="right" w:leader="dot" w:pos="8296"/>
        </w:tabs>
        <w:ind w:left="960"/>
        <w:rPr>
          <w:rFonts w:cstheme="minorBidi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fldChar w:fldCharType="begin"/>
      </w:r>
      <w:r>
        <w:instrText xml:space="preserve"> HYPERLINK \l "_Toc152595534" </w:instrText>
      </w:r>
      <w:r>
        <w:fldChar w:fldCharType="separate"/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3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.</w:t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2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资源构成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_Toc152595534 \h </w:instrTex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18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2"/>
        <w:tabs>
          <w:tab w:val="right" w:leader="dot" w:pos="8296"/>
        </w:tabs>
        <w:ind w:left="960"/>
        <w:rPr>
          <w:rFonts w:cstheme="minorBidi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fldChar w:fldCharType="begin"/>
      </w:r>
      <w:r>
        <w:instrText xml:space="preserve"> HYPERLINK \l "_Toc152595535" </w:instrText>
      </w:r>
      <w:r>
        <w:fldChar w:fldCharType="separate"/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3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.</w:t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3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资源内容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_Toc152595535 \h </w:instrTex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18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2"/>
        <w:tabs>
          <w:tab w:val="right" w:leader="dot" w:pos="8296"/>
        </w:tabs>
        <w:ind w:left="960"/>
        <w:rPr>
          <w:rFonts w:cstheme="minorBidi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fldChar w:fldCharType="begin"/>
      </w:r>
      <w:r>
        <w:instrText xml:space="preserve"> HYPERLINK \l "_Toc152595536" </w:instrText>
      </w:r>
      <w:r>
        <w:fldChar w:fldCharType="separate"/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3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.</w:t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4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服务团队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_Toc152595536 \h </w:instrTex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18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"/>
        <w:tabs>
          <w:tab w:val="right" w:leader="dot" w:pos="8296"/>
        </w:tabs>
        <w:rPr>
          <w:rFonts w:cstheme="minorBidi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fldChar w:fldCharType="begin"/>
      </w:r>
      <w:r>
        <w:instrText xml:space="preserve"> HYPERLINK \l "_Toc152595537" </w:instrText>
      </w:r>
      <w:r>
        <w:fldChar w:fldCharType="separate"/>
      </w:r>
      <w:r>
        <w:rPr>
          <w:rStyle w:val="10"/>
          <w:rFonts w:ascii="Times New Roman" w:hAnsi="Times New Roman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4</w:t>
      </w:r>
      <w:r>
        <w:rPr>
          <w:rStyle w:val="10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资源类别及分类规则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_Toc152595537 \h </w:instrTex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19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5"/>
        <w:tabs>
          <w:tab w:val="right" w:leader="dot" w:pos="8296"/>
        </w:tabs>
        <w:rPr>
          <w:rFonts w:hint="default" w:ascii="Times New Roman" w:hAnsi="Times New Roman" w:cs="Times New Roman" w:eastAsiaTheme="minorEastAsia"/>
          <w:color w:val="000000" w:themeColor="text1"/>
          <w:kern w:val="2"/>
          <w:sz w:val="18"/>
          <w:szCs w:val="2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 w:eastAsiaTheme="minorEastAsia"/>
        </w:rPr>
        <w:fldChar w:fldCharType="begin"/>
      </w:r>
      <w:r>
        <w:rPr>
          <w:rFonts w:hint="default" w:ascii="Times New Roman" w:hAnsi="Times New Roman" w:cs="Times New Roman" w:eastAsiaTheme="minorEastAsia"/>
        </w:rPr>
        <w:instrText xml:space="preserve"> HYPERLINK \l "_Toc152595538" </w:instrText>
      </w:r>
      <w:r>
        <w:rPr>
          <w:rFonts w:hint="default" w:ascii="Times New Roman" w:hAnsi="Times New Roman" w:cs="Times New Roman" w:eastAsiaTheme="minorEastAsia"/>
        </w:rPr>
        <w:fldChar w:fldCharType="separate"/>
      </w:r>
      <w:r>
        <w:rPr>
          <w:rStyle w:val="10"/>
          <w:rFonts w:hint="default" w:ascii="Times New Roman" w:hAnsi="Times New Roman" w:cs="Times New Roman" w:eastAsiaTheme="minorEastAsia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附件</w:t>
      </w:r>
      <w:r>
        <w:rPr>
          <w:rStyle w:val="10"/>
          <w:rFonts w:hint="default" w:ascii="Times New Roman" w:hAnsi="Times New Roman" w:cs="Times New Roman" w:eastAsiaTheme="minorEastAsia"/>
          <w:color w:val="000000" w:themeColor="text1"/>
          <w:sz w:val="21"/>
          <w:szCs w:val="18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Style w:val="10"/>
          <w:rFonts w:hint="default" w:ascii="Times New Roman" w:hAnsi="Times New Roman" w:cs="Times New Roman" w:eastAsiaTheme="minorEastAsia"/>
          <w:color w:val="000000" w:themeColor="text1"/>
          <w:sz w:val="21"/>
          <w:szCs w:val="18"/>
          <w14:textFill>
            <w14:solidFill>
              <w14:schemeClr w14:val="tx1"/>
            </w14:solidFill>
          </w14:textFill>
        </w:rPr>
        <w:t>职业技能线上培训数字资源质量评估表</w:t>
      </w:r>
      <w:r>
        <w:rPr>
          <w:rStyle w:val="10"/>
          <w:rFonts w:hint="default" w:ascii="Times New Roman" w:hAnsi="Times New Roman" w:cs="Times New Roman" w:eastAsiaTheme="minorEastAsia"/>
          <w:color w:val="000000" w:themeColor="text1"/>
          <w:sz w:val="21"/>
          <w:szCs w:val="1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Style w:val="10"/>
          <w:rFonts w:hint="default" w:ascii="Times New Roman" w:hAnsi="Times New Roman" w:cs="Times New Roman" w:eastAsiaTheme="minorEastAsia"/>
          <w:color w:val="000000" w:themeColor="text1"/>
          <w:sz w:val="21"/>
          <w:szCs w:val="18"/>
          <w:lang w:val="en-US" w:eastAsia="zh-CN"/>
          <w14:textFill>
            <w14:solidFill>
              <w14:schemeClr w14:val="tx1"/>
            </w14:solidFill>
          </w14:textFill>
        </w:rPr>
        <w:t>参考</w:t>
      </w:r>
      <w:r>
        <w:rPr>
          <w:rStyle w:val="10"/>
          <w:rFonts w:hint="default" w:ascii="Times New Roman" w:hAnsi="Times New Roman" w:cs="Times New Roman" w:eastAsiaTheme="minorEastAsia"/>
          <w:color w:val="000000" w:themeColor="text1"/>
          <w:sz w:val="21"/>
          <w:szCs w:val="1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cs="Times New Roman" w:eastAsia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ab/>
      </w:r>
      <w:r>
        <w:rPr>
          <w:rFonts w:hint="default" w:ascii="Times New Roman" w:hAnsi="Times New Roman" w:cs="Times New Roman" w:eastAsia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cs="Times New Roman" w:eastAsia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instrText xml:space="preserve"> PAGEREF _Toc152595538 \h </w:instrText>
      </w:r>
      <w:r>
        <w:rPr>
          <w:rFonts w:hint="default" w:ascii="Times New Roman" w:hAnsi="Times New Roman" w:cs="Times New Roman" w:eastAsia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default" w:ascii="Times New Roman" w:hAnsi="Times New Roman" w:cs="Times New Roman" w:eastAsia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 w:eastAsia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ascii="Times New Roman" w:hAnsi="Times New Roman" w:cs="Times New Roman" w:eastAsiaTheme="minor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14"/>
        <w:ind w:firstLine="0" w:firstLineChars="0"/>
        <w:jc w:val="left"/>
        <w:rPr>
          <w:color w:val="000000" w:themeColor="text1"/>
          <w:kern w:val="2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/>
          <w:color w:val="000000" w:themeColor="text1"/>
          <w:kern w:val="2"/>
          <w:szCs w:val="21"/>
          <w14:textFill>
            <w14:solidFill>
              <w14:schemeClr w14:val="tx1"/>
            </w14:solidFill>
          </w14:textFill>
        </w:rPr>
        <w:fldChar w:fldCharType="end"/>
      </w:r>
    </w:p>
    <w:p>
      <w:pPr>
        <w:tabs>
          <w:tab w:val="center" w:pos="4153"/>
        </w:tabs>
        <w:rPr>
          <w:color w:val="000000" w:themeColor="text1"/>
          <w14:textFill>
            <w14:solidFill>
              <w14:schemeClr w14:val="tx1"/>
            </w14:solidFill>
          </w14:textFill>
        </w:rPr>
        <w:sectPr>
          <w:headerReference r:id="rId6" w:type="default"/>
          <w:footerReference r:id="rId7" w:type="default"/>
          <w:footerReference r:id="rId8" w:type="even"/>
          <w:pgSz w:w="11906" w:h="16838"/>
          <w:pgMar w:top="1440" w:right="1800" w:bottom="1440" w:left="1800" w:header="1134" w:footer="964" w:gutter="0"/>
          <w:pgNumType w:fmt="decimal"/>
          <w:cols w:space="425" w:num="1"/>
          <w:formProt w:val="0"/>
          <w:titlePg/>
          <w:docGrid w:type="lines" w:linePitch="326" w:charSpace="0"/>
        </w:sect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ab/>
      </w:r>
    </w:p>
    <w:p>
      <w:pPr>
        <w:pStyle w:val="15"/>
        <w:rPr>
          <w:rFonts w:ascii="华文中宋" w:hAnsi="华文中宋" w:eastAsia="华文中宋" w:cs="华文中宋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华文中宋" w:hAnsi="华文中宋" w:eastAsia="华文中宋" w:cs="华文中宋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职业技能线上培训数字资源质量规范</w:t>
      </w:r>
    </w:p>
    <w:p>
      <w:pPr>
        <w:pStyle w:val="16"/>
        <w:numPr>
          <w:ilvl w:val="0"/>
          <w:numId w:val="0"/>
        </w:numPr>
        <w:spacing w:before="326" w:after="326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0" w:name="_Toc152595530"/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适用范围</w:t>
      </w:r>
      <w:bookmarkEnd w:id="0"/>
    </w:p>
    <w:p>
      <w:pPr>
        <w:pStyle w:val="14"/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本规范给出了职业技能线上培训数字资源（以下简称“资源”）建设与服务过程中的</w:t>
      </w:r>
    </w:p>
    <w:p>
      <w:pPr>
        <w:pStyle w:val="14"/>
        <w:ind w:firstLine="0" w:firstLineChars="0"/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资源目标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资源构成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资源内容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服务团队</w:t>
      </w:r>
      <w:r>
        <w:rPr>
          <w:rFonts w:hint="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方面的要求。</w:t>
      </w:r>
    </w:p>
    <w:p>
      <w:pPr>
        <w:pStyle w:val="14"/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本规范适用于职业技能线上培训数字资源的遴选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和分类分级评价。</w:t>
      </w:r>
    </w:p>
    <w:p>
      <w:pPr>
        <w:pStyle w:val="16"/>
        <w:numPr>
          <w:ilvl w:val="0"/>
          <w:numId w:val="0"/>
        </w:numPr>
        <w:spacing w:before="326" w:after="326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1" w:name="_Toc152595531"/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规范性引用文件</w:t>
      </w:r>
      <w:bookmarkEnd w:id="1"/>
      <w:bookmarkStart w:id="2" w:name="pindex41"/>
      <w:bookmarkEnd w:id="2"/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下列文件对于本文件的应用是必不可少的。凡是注日期的引用文件，仅所注日期的版本适用于本文件。凡是不注日期的引用文件，其最新版本适用于本文件。</w:t>
      </w:r>
    </w:p>
    <w:p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firstLine="424" w:firstLineChars="202"/>
        <w:jc w:val="both"/>
        <w:rPr>
          <w:rFonts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GB</w:t>
      </w:r>
      <w:r>
        <w:rPr>
          <w:rFonts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/</w: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T38377</w:t>
      </w:r>
      <w:r>
        <w:rPr>
          <w:rFonts w:hint="eastAsia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—</w: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2019</w:t>
      </w:r>
      <w:r>
        <w:rPr>
          <w:rFonts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新闻出版 知识服务 知识资源建设与服务基础术语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GB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/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T24620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—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2009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服务标准制定导则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考虑消费者需求</w:t>
      </w:r>
    </w:p>
    <w:p>
      <w:pPr>
        <w:pStyle w:val="16"/>
        <w:numPr>
          <w:ilvl w:val="0"/>
          <w:numId w:val="0"/>
        </w:numPr>
        <w:spacing w:before="326" w:after="326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3" w:name="_Toc152595532"/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资源关键要素及要求</w:t>
      </w:r>
      <w:bookmarkEnd w:id="3"/>
    </w:p>
    <w:p>
      <w:pPr>
        <w:pStyle w:val="17"/>
        <w:numPr>
          <w:ilvl w:val="1"/>
          <w:numId w:val="0"/>
        </w:numPr>
        <w:spacing w:before="163" w:after="163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4" w:name="_Toc152595533"/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资源目标</w:t>
      </w:r>
      <w:bookmarkEnd w:id="4"/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适用对象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资源适用对象根据不同学习者的学习需求进行分类，对象包括但不限于：在校生、企业职工、退役军人、高校毕业生、农村转移劳动力、失业人员。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对学习者学习此资源需要具备的前置条件及要求进行说明。</w:t>
      </w:r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资源分类</w:t>
      </w:r>
      <w:bookmarkStart w:id="5" w:name="pindex50"/>
      <w:bookmarkEnd w:id="5"/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资源按照培训适用的领域进行分类，分类包括但不限于：通用素质类、职业技能类、专项职业能力类、创新创业类。</w:t>
      </w:r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适用标准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资源开发符合相关标准规范的要求，标准规范包括但不限于：国家职业标准、专项职业能力考核规范、企业岗位规范。</w:t>
      </w:r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资源应用</w:t>
      </w:r>
      <w:bookmarkStart w:id="6" w:name="pindex54"/>
      <w:bookmarkEnd w:id="6"/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资源按照标准规范中知识点和技能点的要求组织开发建设，支持面向不同学习者灵活组织培训课程。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</w:t>
      </w:r>
      <w:r>
        <w:rPr>
          <w:rFonts w:ascii="Verdana" w:hAnsi="Verdana"/>
          <w:color w:val="333333"/>
          <w:shd w:val="clear" w:color="auto" w:fill="FFFFFF"/>
        </w:rPr>
        <w:t>采用通用格式与标准，具有兼容性，保证学习者能够使用主流浏览器与通用播放软件进行学习。</w:t>
      </w:r>
    </w:p>
    <w:p>
      <w:pPr>
        <w:pStyle w:val="17"/>
        <w:numPr>
          <w:ilvl w:val="1"/>
          <w:numId w:val="0"/>
        </w:numPr>
        <w:spacing w:before="163" w:after="163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7" w:name="_Toc152595534"/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资源构成</w:t>
      </w:r>
      <w:bookmarkEnd w:id="7"/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课程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课程类资源包括资源介绍、培训大纲、资源主体文件、培训指导说明等内容。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资源介绍包括资源名称、总学时、适用学习对象及主要学习内容、培训项目特点、培训方式及组织形式等内容。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培训大纲包括培训大纲说明、培训目标、培训对象、培训内容结构与教学建议、培训时长、培训评价等内容。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资源主体文件包括文本、图形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/图像、音频、视频、动画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3D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、交互式课件、仿真模拟、虚拟现实、增强现实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等多媒体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文件。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培训指导说明包括培训思路和方法、培训方式和素材应用、培训任务解析、培训建议、培训效果检测等，结合培训内容结构展开。</w:t>
      </w:r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素材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资源素材包括素材清单、素材文件等内容。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素材清单对素材的类别、格式、数量、对应的培训大纲进行说明。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素材文件的设计和开发针对培养相关职业（岗位）的能力所需的培训重点、难点选择适合的表现形式，形式包括但不限于：文本、图形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/图像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、音频、视频、动画。</w:t>
      </w:r>
    </w:p>
    <w:p>
      <w:pPr>
        <w:pStyle w:val="17"/>
        <w:numPr>
          <w:ilvl w:val="1"/>
          <w:numId w:val="0"/>
        </w:numPr>
        <w:spacing w:before="163" w:after="163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8" w:name="_Toc152595535"/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资源内容</w:t>
      </w:r>
      <w:bookmarkEnd w:id="8"/>
      <w:bookmarkStart w:id="9" w:name="pindex68"/>
      <w:bookmarkEnd w:id="9"/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内容质量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培训场景的设计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与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培训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目标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相匹配。除多媒体课堂讲授外，可利用软件操作录屏、实物操作录像、工作场景录像、交互式业务仿真、虚拟现实等实景实操类形式，为不同需求的培训对象，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提供个性化的课程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，促进培训目标的达成。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资源教学环节为培训对象提供符合能力提升规律的教与学的安排，除回顾、导学、讲授等普通教学环节外，根据培训需求安排演示、操作示范、案例分析、提问、练习等引导类教学环节。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参与资源录制的教师着装得体、精神饱满、态度认真、语音标准、语速得当、表达准确、节奏适度。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资源内容符合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国家职业标准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、专项职业能力考核规范、企业岗位规范等要求，知识点、技能点与相应规范标准内容对应。</w:t>
      </w:r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bookmarkStart w:id="10" w:name="_Toc41921848"/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内容安全</w:t>
      </w:r>
      <w:bookmarkStart w:id="11" w:name="pindex74"/>
      <w:bookmarkEnd w:id="11"/>
    </w:p>
    <w:bookmarkEnd w:id="10"/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资源内容所使用的素材，如图片、视频、肖像、字体、配乐等资源需具有独立知识产权或版权方的授权使用证明，不得使用未授权的素材资源。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资源内容具有严格的审校过程，资源中不得含有法律、行政法规和国家规定禁止的内容。</w:t>
      </w:r>
    </w:p>
    <w:p>
      <w:pPr>
        <w:pStyle w:val="17"/>
        <w:numPr>
          <w:ilvl w:val="1"/>
          <w:numId w:val="0"/>
        </w:numPr>
        <w:spacing w:before="163" w:after="163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12" w:name="_Toc152595536"/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/>
          <w:color w:val="000000" w:themeColor="text1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服务团队</w:t>
      </w:r>
      <w:bookmarkEnd w:id="12"/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开发团队</w:t>
      </w:r>
      <w:bookmarkStart w:id="13" w:name="pindex78"/>
      <w:bookmarkEnd w:id="13"/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具有资源开发的管理与评价制度，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以及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与资源开发内容相适应的资源开发团队，团队成员结构合理、分工明确。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建立资源评价反馈机制，包括学习者评价问卷、企业用人单位评价问卷、自我评价表等文档资源。常态化接受各方评价，评价形式包括学习者评价、企业评价、自我评价等。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根据资源评价制定整改措施，进行优化和改进；注重服务对象的满意度和服务效能的提升，持续提高资源质量。</w:t>
      </w:r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师资团队</w:t>
      </w:r>
      <w:bookmarkStart w:id="14" w:name="pindex82"/>
      <w:bookmarkEnd w:id="14"/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建立师资管理机制，对师资资质及背景、工作职责分工、行为规范、考核评价等方面进行规范。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具有师资队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伍建设方案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、师资管理规章制度、师资名单、师资资质档案、师资工作规范、师资工作安排表、师资工作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记录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、师资考核评价表等。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根据资源建设规模及复杂程度，配备人数适宜、结构合理的师资团队。团队人员具有相关师资任职资格。</w:t>
      </w:r>
    </w:p>
    <w:p>
      <w:pPr>
        <w:pStyle w:val="18"/>
        <w:numPr>
          <w:ilvl w:val="2"/>
          <w:numId w:val="0"/>
        </w:numPr>
        <w:spacing w:before="163" w:after="163"/>
        <w:jc w:val="both"/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eastAsia="宋体"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  <w:t>在线学习服务团队</w:t>
      </w:r>
      <w:bookmarkStart w:id="15" w:name="pindex86"/>
      <w:bookmarkEnd w:id="15"/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资源的在线学习服务团队为培训对象使用资源提供学习咨询、问题解答、投诉反馈等服务。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建立在线学习服务工作机制，对工作职责分工、行为要求、工作评价等方面进行规范。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具有学习支持记录、学习支持岗位考核评价表等。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根据培训对象的人数，配备人数适宜、结构合理的在线学习服务团队。在线学习服务团队人员具有在线学习服务师任职资格。</w:t>
      </w:r>
    </w:p>
    <w:p>
      <w:pPr>
        <w:pStyle w:val="16"/>
        <w:numPr>
          <w:ilvl w:val="0"/>
          <w:numId w:val="0"/>
        </w:numPr>
        <w:spacing w:before="326" w:after="326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bookmarkStart w:id="16" w:name="_Toc152595537"/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资源类别及分类规则</w:t>
      </w:r>
      <w:bookmarkEnd w:id="16"/>
      <w:bookmarkStart w:id="17" w:name="pindex91"/>
      <w:bookmarkEnd w:id="17"/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职业技能线上培训数字资源按照资源构成可分为课程和素材。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按照资源格式可以分为：文本类、图形/图像类、音频类、视频类、动画类、交互类、仿真模拟等类别。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按照培训适用的领域可分为：通用素质类、职业技能类、专项职业能力类、创新创业类资源。</w:t>
      </w:r>
    </w:p>
    <w:p>
      <w:pPr>
        <w:pStyle w:val="14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按照培训项目的内容可根据《中华人民共和国职业分类大典》（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022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年版）根据职业工种进行分类。</w:t>
      </w:r>
    </w:p>
    <w:p>
      <w:pPr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sectPr>
          <w:footerReference r:id="rId9" w:type="default"/>
          <w:footerReference r:id="rId10" w:type="even"/>
          <w:pgSz w:w="11906" w:h="16838"/>
          <w:pgMar w:top="1440" w:right="1800" w:bottom="1440" w:left="1800" w:header="1134" w:footer="964" w:gutter="0"/>
          <w:pgNumType w:fmt="decimal"/>
          <w:cols w:space="425" w:num="1"/>
          <w:formProt w:val="0"/>
          <w:docGrid w:type="lines" w:linePitch="326" w:charSpace="0"/>
        </w:sectPr>
      </w:pP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br w:type="page"/>
      </w:r>
    </w:p>
    <w:p>
      <w:pPr>
        <w:pStyle w:val="16"/>
        <w:numPr>
          <w:ilvl w:val="0"/>
          <w:numId w:val="0"/>
        </w:numPr>
        <w:spacing w:beforeLines="0" w:after="326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18" w:name="_Toc152595538"/>
      <w:bookmarkStart w:id="19" w:name="_Toc150448520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附件</w:t>
      </w:r>
      <w:bookmarkEnd w:id="18"/>
      <w:bookmarkEnd w:id="19"/>
    </w:p>
    <w:p>
      <w:pPr>
        <w:pStyle w:val="16"/>
        <w:numPr>
          <w:ilvl w:val="0"/>
          <w:numId w:val="0"/>
        </w:numPr>
        <w:spacing w:beforeLines="0" w:afterLines="0"/>
        <w:jc w:val="center"/>
        <w:rPr>
          <w:rFonts w:hint="eastAsia" w:ascii="华文中宋" w:hAnsi="华文中宋" w:eastAsia="华文中宋" w:cs="华文中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bookmarkStart w:id="20" w:name="_Toc152595539"/>
      <w:r>
        <w:rPr>
          <w:rFonts w:hint="eastAsia" w:ascii="华文中宋" w:hAnsi="华文中宋" w:eastAsia="华文中宋" w:cs="华文中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职业技能线上培训数字资源质量评估表</w:t>
      </w:r>
      <w:bookmarkEnd w:id="20"/>
      <w:bookmarkStart w:id="21" w:name="pindex97"/>
      <w:bookmarkEnd w:id="21"/>
      <w:r>
        <w:rPr>
          <w:rFonts w:hint="eastAsia" w:ascii="华文中宋" w:hAnsi="华文中宋" w:eastAsia="华文中宋" w:cs="华文中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华文中宋" w:hAnsi="华文中宋" w:eastAsia="华文中宋" w:cs="华文中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参考</w:t>
      </w:r>
      <w:r>
        <w:rPr>
          <w:rFonts w:hint="eastAsia" w:ascii="华文中宋" w:hAnsi="华文中宋" w:eastAsia="华文中宋" w:cs="华文中宋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</w:p>
    <w:tbl>
      <w:tblPr>
        <w:tblStyle w:val="6"/>
        <w:tblW w:w="87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709"/>
        <w:gridCol w:w="709"/>
        <w:gridCol w:w="2268"/>
        <w:gridCol w:w="703"/>
        <w:gridCol w:w="1134"/>
        <w:gridCol w:w="25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127" w:type="dxa"/>
            <w:gridSpan w:val="3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22" w:name="pindex100"/>
            <w:bookmarkEnd w:id="22"/>
            <w:r>
              <w:rPr>
                <w:rFonts w:hint="eastAsia"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评估</w:t>
            </w:r>
            <w:r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指标</w:t>
            </w:r>
          </w:p>
        </w:tc>
        <w:tc>
          <w:tcPr>
            <w:tcW w:w="2268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内容要求</w:t>
            </w:r>
          </w:p>
        </w:tc>
        <w:tc>
          <w:tcPr>
            <w:tcW w:w="703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分值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评估方法</w:t>
            </w:r>
          </w:p>
        </w:tc>
        <w:tc>
          <w:tcPr>
            <w:tcW w:w="2557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评分规则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一级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二级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三级</w:t>
            </w:r>
          </w:p>
        </w:tc>
        <w:tc>
          <w:tcPr>
            <w:tcW w:w="2268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3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57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资源目标（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适用对象（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对象类别</w:t>
            </w:r>
          </w:p>
        </w:tc>
        <w:tc>
          <w:tcPr>
            <w:tcW w:w="2268" w:type="dxa"/>
            <w:vAlign w:val="center"/>
          </w:tcPr>
          <w:p>
            <w:pPr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包含资源适用的学习对象类别，包括但不限于：在校生、企业职工、退役军人、高校毕业生、农村转移劳动力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、失业人员</w:t>
            </w:r>
          </w:p>
        </w:tc>
        <w:tc>
          <w:tcPr>
            <w:tcW w:w="703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有明确所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适用的学习对象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类别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（2.1～3.0分）</w:t>
            </w:r>
          </w:p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适用的学习对象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类别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表述不够明确。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（0～2.0分）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前置要求</w:t>
            </w:r>
          </w:p>
        </w:tc>
        <w:tc>
          <w:tcPr>
            <w:tcW w:w="2268" w:type="dxa"/>
            <w:vAlign w:val="center"/>
          </w:tcPr>
          <w:p>
            <w:pPr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对学习者学习此资源需要具备的前置条件及要求进行说明</w:t>
            </w:r>
          </w:p>
        </w:tc>
        <w:tc>
          <w:tcPr>
            <w:tcW w:w="703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对学习者学习此资源需要具备的前置条件及要求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有充分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说明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（2.1～3.0分）</w:t>
            </w:r>
          </w:p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对学习者学习此资源需要具备的前置条件及要求说明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不够充分。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（0～2.0分）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资源分类（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8" w:type="dxa"/>
            <w:vAlign w:val="center"/>
          </w:tcPr>
          <w:p>
            <w:pPr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资源按照培训适用的领域进行分类，分类包括但不限于：通用素质类、职业技能类、专项职业能力类、创新创业类</w:t>
            </w:r>
          </w:p>
        </w:tc>
        <w:tc>
          <w:tcPr>
            <w:tcW w:w="703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对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资源分类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有明确的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描述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（2.1～3.0分）</w:t>
            </w:r>
          </w:p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对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资源分类描述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不够明确。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（0～2.0分）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适用标准（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8" w:type="dxa"/>
            <w:vAlign w:val="center"/>
          </w:tcPr>
          <w:p>
            <w:pPr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23" w:name="sys140050"/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资源开发符合标准规范要求，标准规范包括但不限于：国家职业标准、专项职业能力考核规范、企业岗位规范</w:t>
            </w:r>
            <w:bookmarkEnd w:id="23"/>
          </w:p>
        </w:tc>
        <w:tc>
          <w:tcPr>
            <w:tcW w:w="703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有明确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资源适用的具体标准规范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（2.1～3.0分）</w:t>
            </w:r>
          </w:p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对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资源适用的具体标准规范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表述不够明确。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（0～2.0分）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资源应用（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68" w:type="dxa"/>
            <w:vAlign w:val="center"/>
          </w:tcPr>
          <w:p>
            <w:pPr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资源按照标准规范中知识点和技能点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的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要求组织开发建设，支持面向不同学习者灵活组织培训课程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资源采用通用格式与标准，具有兼容性，保证学习者能够使用主流浏览器与通用播放软件进行学习</w:t>
            </w:r>
          </w:p>
        </w:tc>
        <w:tc>
          <w:tcPr>
            <w:tcW w:w="703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文件审阅资源检验</w:t>
            </w:r>
          </w:p>
        </w:tc>
        <w:tc>
          <w:tcPr>
            <w:tcW w:w="2557" w:type="dxa"/>
            <w:vAlign w:val="center"/>
          </w:tcPr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对资源与标准规范中的工作内容、技能要求以及相关知识的适配情况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有明确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说明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，且资源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具有良好兼容性。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（2.1～3.0分）</w:t>
            </w:r>
          </w:p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对资源与标准规范中的工作内容、技能要求以及相关知识的适配情况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的说明不够明确，且资源兼容性一般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（0～2.0分）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资源构成（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22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课程（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资源介绍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资源介绍包括资源名称、总学时、适用学习对象及主要学习内容、培训项目特点、培训方式及组织形式等内容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资源介绍清晰准确，便于学习者和企业用人单位进行资源选择。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（3.1～4.0分）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资源介绍不清晰准确，不便于学习者和企业用人单位进行资源选择。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0~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.0分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培训大纲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培训大纲包括培训大纲说明、培训目标、培训对象、培训内容与教学建议、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培训时长、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培训评价等内容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培训大纲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设计有效、合理，目标达成度高。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（3.1～4.0分）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培训大纲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设计较为合理。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（0～3.0分）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资源主体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资源主体包括文本、图形/图像、音频、视频、动画、3D、交互式课件、仿真模拟、虚拟现实、增强现实等多媒体文件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资源主体文件形式丰富、适应性好。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（3.1～4.0分）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资源主体文件形式单一、适应性弱。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（0～3.0分）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指导说明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培训指导说明包括培训思路和方法、培训方式和素材应用、培训任务解析、培训建议、培训效果检测等，结合培训内容结构展开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培训指导说明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内容详细。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（3.1～4.0分）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培训指导说明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内容不够详细。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（0～3.0分）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left="34" w:leftChars="16"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素材清单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素材清单对素材的类别、格式、数量、对应的培训大纲进行说明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清单详细、清晰。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（2.1～3.0分）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清单不够详细、清晰。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（0～2.0分）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18"/>
                <w:tab w:val="clear" w:pos="4201"/>
              </w:tabs>
              <w:snapToGrid w:val="0"/>
              <w:ind w:left="34" w:leftChars="16"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素材设计开发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素材文件的设计和开发针对培养相关职业（岗位）的能力所需的培训重点、难点选择需要的表现形式，形式包括但不限于：文本、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图形/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图像、音频、视频、动画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素材文件的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表现形式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设计有效、合理。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（2.1～3.0分）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素材文件的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表现形式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设计不够合理。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（0～2.0分）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45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内容质量（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32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场景设计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培训场景的设计须与培训目标相匹配。除多媒体课堂讲授外，可利用软件操作录屏、实物操作录像、工作场景录像、交互式业务仿真、虚拟现实等实景实操类形式，为不同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需求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的培训对象，提供个性化的课程，促进培训目标的达成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文件审阅资源检验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培训场景设计丰富多样，运用了实景实操示范、场景仿真模拟等手段促进培训目标的达成。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（5.1～8.0分）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教学场景设计单一，未运用实景实操示范、场景仿真模拟等手段促进培训目标的达成。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（0～5.0分）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37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教学环节安排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资源教学环节为培训对象提供符合能力提升规律的教与学的安排，除回顾、导学、讲授等普通教学环节外，根据培训需求安排演示、操作示范、案例分析、提问、练习等引导类教学环节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文件审阅资源检验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教学环节设计紧凑高效，运用了案例分析、提问等引导类环节促进培训目标的达成。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（5.1～8.0分）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教学环节设计平淡，未运用案例分析、提问等引导类环节促进培训目标的达成。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（0～5.0分）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教师授课表现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参与资源录制的教师着装得体、精神饱满、态度认真、语音标准、语速得当、表达准确、节奏适度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参与资源录制的教师的授课表现优良，能有效保持对学习者的吸引力。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（5.1～8.0分）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参与资源录制的教师的授课表现一般，未能有效保持对学习者的吸引力。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（0～5.0分）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对标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24" w:name="sys229053"/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资源内容符合</w:t>
            </w:r>
            <w: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国家职业标准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、专项职业能力考核规范、企业岗位规范等要求，知识点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技能点能与相应规范标准内容对应</w:t>
            </w:r>
            <w:bookmarkEnd w:id="24"/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文件审阅资源检验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资源内容符合</w:t>
            </w:r>
            <w:r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国家职业标准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、专项职业能力考核规范、企业岗位规范等要求，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且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知识点技能点能与相应规范标准内容对应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（5.1～8.0分）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基本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符合国家职业标准、专项职业能力考核规范、企业岗位规范等要求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（0～5.0分）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内容安全（</w:t>
            </w:r>
            <w:r>
              <w:rPr>
                <w:rFonts w:hint="eastAsia"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知识产权保护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资源内容所使用的素材，如图片、视频、肖像、字体、配乐等资源需具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有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独立知识产权或版权方的授权使用证明，不得使用未授权的素材资源</w:t>
            </w: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文件审阅资源检验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资源内容所使用的素材和内容，有可靠的授权来源。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（3.1～5.0分）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部分资源内容所使用的素材和内容，没有可靠的授权来源。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（0～3.0分）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合法合规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snapToGrid w:val="0"/>
              <w:ind w:firstLine="0" w:firstLineChars="0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bookmarkStart w:id="25" w:name="sys245038"/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资源内容具有严格的审校过程，资源中不得含有法律、行政法规和国家规定禁止的内容</w:t>
            </w:r>
            <w:bookmarkEnd w:id="25"/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3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34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文件审阅资源检验</w:t>
            </w:r>
          </w:p>
        </w:tc>
        <w:tc>
          <w:tcPr>
            <w:tcW w:w="2557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资源内容审校过程严格，未发现</w:t>
            </w: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含有法律、行政法规和国家规定禁止的内容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（5.1～8.0分）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hint="eastAsia" w:ascii="Times New Roman" w:eastAsia="宋体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资源内容审校过程不严格。</w:t>
            </w:r>
            <w:r>
              <w:rPr>
                <w:rFonts w:hint="eastAsia" w:ascii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（0～5.0分）</w:t>
            </w:r>
          </w:p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发现</w:t>
            </w: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含有法律、行政法规和国家规定禁止的内容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。【单项否决】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服务团队（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开发团队（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工作职责与制度</w:t>
            </w:r>
          </w:p>
        </w:tc>
        <w:tc>
          <w:tcPr>
            <w:tcW w:w="2268" w:type="dxa"/>
            <w:vAlign w:val="center"/>
          </w:tcPr>
          <w:p>
            <w:pPr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根据资源评价制定整改措施，进行优化和改进；注重服务对象的满意度和服务效能的提升，持续提高资源质量</w:t>
            </w:r>
          </w:p>
        </w:tc>
        <w:tc>
          <w:tcPr>
            <w:tcW w:w="703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整改措施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支持资源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优化和改进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，能够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持续提高资源质量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 w:hAnsi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（1.1～2.0分）</w:t>
            </w:r>
          </w:p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资源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整改措施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基本支持资源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优化和改进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Times New Roman" w:hAnsi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（0～1.0分）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人员资质与数量</w:t>
            </w:r>
          </w:p>
        </w:tc>
        <w:tc>
          <w:tcPr>
            <w:tcW w:w="2268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具有资源开发的管理与评价制度，以及与资源开发内容相适应的资源开发团队，团队成员结构合理、分工明确</w:t>
            </w:r>
          </w:p>
        </w:tc>
        <w:tc>
          <w:tcPr>
            <w:tcW w:w="703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开发团队岗位结构合理、人员数量及资质充分。</w:t>
            </w:r>
            <w:r>
              <w:rPr>
                <w:rFonts w:hint="eastAsia" w:ascii="Times New Roman" w:hAnsi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（1.1～2.0分）</w:t>
            </w:r>
          </w:p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ind w:left="0" w:leftChars="0" w:firstLine="0" w:firstLineChars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开发团队岗位结构不够合理、人员数量及资质不充分。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（0～1.0分）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师资团队（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工作职责与制度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建立师资管理机制，对师资资质及背景、工作职责分工、行为规范、考核评价等方面进行规范</w:t>
            </w:r>
          </w:p>
        </w:tc>
        <w:tc>
          <w:tcPr>
            <w:tcW w:w="703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师资管理制度能保障资源内容专业、讲授水平高。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（3.1～5.0分）</w:t>
            </w:r>
          </w:p>
          <w:p>
            <w:pPr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师资管理制度能保障资源内容专业、讲授水平基本合格。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（0～3.0分）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人员资质与数量</w:t>
            </w:r>
          </w:p>
        </w:tc>
        <w:tc>
          <w:tcPr>
            <w:tcW w:w="2268" w:type="dxa"/>
            <w:vAlign w:val="center"/>
          </w:tcPr>
          <w:p>
            <w:pPr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根据资源建设规模及复杂程度，配备人数适宜、结构合理的师资团队。团队人员具有相关师资任职资格</w:t>
            </w:r>
          </w:p>
        </w:tc>
        <w:tc>
          <w:tcPr>
            <w:tcW w:w="703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师资团队岗位结构合理、人员数量及资质充分。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（3.1～5.0分）</w:t>
            </w:r>
          </w:p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ind w:left="0" w:leftChars="0" w:firstLine="0" w:firstLineChars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师资团队岗位结构不够合理、人员数量及资质不充分。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（0～3.0分）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restart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在线学习服务团队（</w:t>
            </w:r>
            <w:r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工作职责与制度</w:t>
            </w:r>
          </w:p>
        </w:tc>
        <w:tc>
          <w:tcPr>
            <w:tcW w:w="2268" w:type="dxa"/>
            <w:vAlign w:val="center"/>
          </w:tcPr>
          <w:p>
            <w:pPr>
              <w:pStyle w:val="14"/>
              <w:snapToGrid w:val="0"/>
              <w:ind w:firstLine="0" w:firstLineChars="0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资源的在线学习服务团队为培训对象使用资源提供学习咨询、问题解答、投诉反馈等服务</w:t>
            </w:r>
          </w:p>
        </w:tc>
        <w:tc>
          <w:tcPr>
            <w:tcW w:w="703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能为培训对象使用学习资源提供完善的咨询和解答服务。</w:t>
            </w:r>
            <w:r>
              <w:rPr>
                <w:rFonts w:hint="eastAsia" w:ascii="Times New Roman" w:hAnsi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（1.1～2.0分）</w:t>
            </w:r>
          </w:p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ind w:left="0" w:leftChars="0" w:firstLine="0" w:firstLineChars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不能为培训对象使用学习资源提供完善的咨询和解答服务。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（0～1.0分）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pStyle w:val="14"/>
              <w:tabs>
                <w:tab w:val="center" w:pos="709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vAlign w:val="center"/>
          </w:tcPr>
          <w:p>
            <w:pPr>
              <w:pStyle w:val="14"/>
              <w:tabs>
                <w:tab w:val="center" w:pos="344"/>
                <w:tab w:val="clear" w:pos="4201"/>
              </w:tabs>
              <w:snapToGrid w:val="0"/>
              <w:ind w:firstLine="0" w:firstLineChars="0"/>
              <w:jc w:val="center"/>
              <w:rPr>
                <w:rFonts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人员资质与数量</w:t>
            </w:r>
          </w:p>
        </w:tc>
        <w:tc>
          <w:tcPr>
            <w:tcW w:w="2268" w:type="dxa"/>
            <w:vAlign w:val="center"/>
          </w:tcPr>
          <w:p>
            <w:pPr>
              <w:snapToGrid w:val="0"/>
              <w:jc w:val="both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根据培训对象的人数，配备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人数适宜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、结构合理的在线学习服务团队。在线学习服务团队人员具有在线学习服务</w:t>
            </w: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师</w:t>
            </w: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任职资格</w:t>
            </w:r>
          </w:p>
        </w:tc>
        <w:tc>
          <w:tcPr>
            <w:tcW w:w="703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文件审阅</w:t>
            </w:r>
          </w:p>
        </w:tc>
        <w:tc>
          <w:tcPr>
            <w:tcW w:w="2557" w:type="dxa"/>
            <w:vAlign w:val="center"/>
          </w:tcPr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在线学习服务团队岗位结构合理、人员数量及资质充分。</w:t>
            </w:r>
            <w:r>
              <w:rPr>
                <w:rFonts w:hint="eastAsia" w:ascii="Times New Roman" w:hAnsi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（1.1～2.0分）</w:t>
            </w:r>
          </w:p>
          <w:p>
            <w:pPr>
              <w:pStyle w:val="19"/>
              <w:numPr>
                <w:ilvl w:val="2"/>
                <w:numId w:val="0"/>
              </w:numPr>
              <w:tabs>
                <w:tab w:val="center" w:pos="709"/>
              </w:tabs>
              <w:snapToGrid w:val="0"/>
              <w:ind w:left="0" w:leftChars="0" w:firstLine="0" w:firstLineChars="0"/>
              <w:jc w:val="both"/>
              <w:rPr>
                <w:rFonts w:hint="eastAsia" w:eastAsia="宋体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在线学习服务团队岗位结构不够合理、人员数量及资质不充分。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（0～1.0分）</w:t>
            </w:r>
          </w:p>
        </w:tc>
      </w:tr>
    </w:tbl>
    <w:p>
      <w:pPr>
        <w:pStyle w:val="14"/>
        <w:spacing w:after="163" w:afterLines="5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14"/>
        <w:spacing w:after="163" w:afterLines="50"/>
        <w:rPr>
          <w:rFonts w:hint="eastAsia" w:ascii="仿宋" w:hAnsi="仿宋" w:eastAsia="仿宋" w:cs="仿宋"/>
          <w:sz w:val="32"/>
          <w:szCs w:val="22"/>
          <w:lang w:val="en-US" w:eastAsia="zh-CN"/>
        </w:rPr>
      </w:pP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说明：数字资源质量评估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指标体系由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三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级指标及其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内容要求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构成。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评估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指标体系设有4项一级指标，分别为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资源目标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资源构成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资源内容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服务团队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，二级指标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1项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，三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级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指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标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项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评估总分为1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00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分。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各地可根据实际情况，采用分数梯度的方法划分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数字资源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等级。各地开展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数字资源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遴选、评估时可参考以</w:t>
      </w:r>
      <w:r>
        <w:rPr>
          <w:rFonts w:hint="eastAsia"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上</w:t>
      </w:r>
      <w:r>
        <w:rPr>
          <w:rFonts w:ascii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评分规则，也可根据实际情况调整各指标分数权重。</w:t>
      </w:r>
    </w:p>
    <w:sectPr>
      <w:footerReference r:id="rId11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CA7FA0DB-E15F-48E8-A613-A70BB7455117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B0162557-638A-4D4D-B870-6FF0BC30414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46D0737-4C44-427F-96DF-2F111825289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730C517A-74E9-4E24-8DD6-0DD55F840422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854DD2F8-FE87-4441-BCF4-7A8E4B885AD9}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  <w:embedRegular r:id="rId6" w:fontKey="{5826C5DD-604D-4C86-9F42-7C295576EC92}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  <w:embedRegular r:id="rId7" w:fontKey="{8A09ED87-1E31-47EE-93AF-8A13F0CC780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24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ZTTZk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gt0wowSwzQqfvn+7fLj&#10;1+XnV4IzCFS7sEDcg0NkbN7aBsHDecBh4t2UXqcvGBH4Ie/5Kq9oIuHp0nw6n4/h4vANG+Bnj9ed&#10;D/GdsJokI6ce9WtlZaddiF3oEJKyGbuVSrU1VIbUOZ29fjNuL1w9AFcGORKJ7rHJis2+6ZntbXEG&#10;MW+73giObyWS71iI98yjGfBgjEu8w1IqiyS2tyiprP/yr/MUjxrBS0mN5sqpwSxRot4b1A6AcTD8&#10;YOwHwxz1rUW3TjCGjrcmLvioBrP0Vn/GDK1TDriY4ciU0ziYt7FrcMwgF+t1G3R0Xh6q7gI6z7G4&#10;Mw+OpzRJyODWxwgxW42TQJ0qvW7ovbZK/Zyk5v5z30Y9/ht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5lNNm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240"/>
      <w:rPr>
        <w:rStyle w:val="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  <w:tabs>
        <w:tab w:val="center" w:pos="4033"/>
        <w:tab w:val="left" w:pos="5230"/>
        <w:tab w:val="clear" w:pos="4153"/>
        <w:tab w:val="clear" w:pos="8306"/>
      </w:tabs>
      <w:ind w:right="240"/>
      <w:jc w:val="left"/>
    </w:pPr>
    <w:r>
      <w:tab/>
    </w:r>
    <w:r>
      <w:tab/>
    </w:r>
  </w:p>
  <w:p>
    <w:pPr>
      <w:pStyle w:val="3"/>
      <w:ind w:right="24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24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3z1oQ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upumEbFL9+/XX78&#10;uvz8SnAGgWoX5ojbOUTG5q1tEDycBxwm3k3pdfqCEYEf8p6v8oomEp4uzaaz2RguDt+wAX72eN35&#10;EN8Jq0kycupRv1ZWdtqG2IUOISmbsRupVFtDZUid05vXb8bthasH4MogRyLRPTZZsdk3PbO9Lc4g&#10;5m3XG8HxjUTyLQvxgXk0Ax6McYn3WEplkcT2FiWV9V/+dZ7iUSN4KanRXDk1mCVK1HuD2gEwDoYf&#10;jP1gmKO+s+jWCcbQ8dbEBR/VYJbe6s+YoVXKARczHJlyGgfzLnYNjhnkYrVqg47Oy0PVXUDnORa3&#10;Zud4SpOEDG51jBCz1TgJ1KnS64bea6vUz0lq7j/3bdTj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989aE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  <w:ind w:right="24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8"/>
      </w:rPr>
      <w:id w:val="-1996483748"/>
      <w:docPartObj>
        <w:docPartGallery w:val="autotext"/>
      </w:docPartObj>
    </w:sdtPr>
    <w:sdtEndPr>
      <w:rPr>
        <w:rStyle w:val="8"/>
      </w:rPr>
    </w:sdtEndPr>
    <w:sdtContent>
      <w:p>
        <w:pPr>
          <w:pStyle w:val="3"/>
          <w:framePr w:wrap="auto" w:vAnchor="text" w:hAnchor="margin" w:xAlign="right" w:y="1"/>
          <w:ind w:right="240"/>
          <w:rPr>
            <w:rStyle w:val="8"/>
          </w:rPr>
        </w:pPr>
        <w:r>
          <w:rPr>
            <w:rStyle w:val="8"/>
          </w:rPr>
          <w:fldChar w:fldCharType="begin"/>
        </w:r>
        <w:r>
          <w:rPr>
            <w:rStyle w:val="8"/>
          </w:rPr>
          <w:instrText xml:space="preserve"> PAGE </w:instrText>
        </w:r>
        <w:r>
          <w:rPr>
            <w:rStyle w:val="8"/>
          </w:rPr>
          <w:fldChar w:fldCharType="end"/>
        </w:r>
      </w:p>
    </w:sdtContent>
  </w:sdt>
  <w:p>
    <w:pPr>
      <w:pStyle w:val="3"/>
      <w:ind w:right="24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5" name="文本框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right="240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2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xXU/0tAgAAVwQAAA4AAABkcnMvZTJvRG9jLnhtbK1UzY7TMBC+I/EO&#10;lu80bVe7qqqmq7JVEVLFrrQgzq7jNJH8J9ttUh4A3oATF+48V5+Dz07SRQuHPXBxxp7xN/6+mcni&#10;tlWSHIXztdE5nYzGlAjNTVHrfU4/fdy8mVHiA9MFk0aLnJ6Ep7fL168WjZ2LqamMLIQjANF+3tic&#10;ViHYeZZ5XgnF/MhYoeEsjVMsYOv2WeFYA3Qls+l4fJM1xhXWGS68x+m6c9Ie0b0E0JRlzcXa8IMS&#10;OnSoTkgWQMlXtfV0mV5bloKH+7L0IhCZUzANaUUS2Lu4ZssFm+8ds1XN+yewlzzhGSfFao2kF6g1&#10;C4wcXP0XlKq5M96UYcSNyjoiSRGwmIyfafNYMSsSF0jt7UV0//9g+YfjgyN1kdOra0o0U6j4+fu3&#10;849f559fCc4gUGP9HHGPFpGhfWtatM1w7nEYebelU/ELRgR+yHu6yCvaQHi8NJvOZmO4OHzDBvjZ&#10;03XrfHgnjCLRyKlD/ZKs7Lj1oQsdQmI2bTa1lKmGUpMmpzdX1+N04eIBuNTIEUl0j41WaHdtz2xn&#10;ihOIOdP1hrd8UyP5lvnwwByaAQ/GuIR7LKU0SGJ6i5LKuC//Oo/xqBG8lDRorpxqzBIl8r1G7QAY&#10;BsMNxm4w9EHdGXTrBGNoeTJxwQU5mKUz6jNmaBVzwMU0R6achsG8C12DYwa5WK1SELrNsrDVj5ZH&#10;6Ciet6tDgIBJ1yhKp0SvFfotVaafjdjQf+5T1NP/YPk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OxXU/0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right="240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2</w:t>
                    </w:r>
                    <w:r>
                      <w:rPr>
                        <w:rFonts w:ascii="Times New Roman" w:hAnsi="Times New Roman" w:cs="Times New Roma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9bQWsyAgAAYwQAAA4AAABkcnMvZTJvRG9jLnhtbK1UzY7TMBC+I/EO&#10;lu80aRGrUj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/1tBaz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  <w:ind w:right="24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240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7" name="文本框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right="24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color w:val="000000" w:themeColor="text1"/>
                              <w14:textFill>
                                <w14:solidFill>
                                  <w14:schemeClr w14:val="tx1"/>
                                </w14:solidFill>
                              </w14:textFill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zM9X0tAgAAVwQAAA4AAABkcnMvZTJvRG9jLnhtbK1UzY7TMBC+I/EO&#10;lu80aVcs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69oUQzhYqfvn87&#10;/fh1+vmV4AwCtdbPEPdgERm6t6ZD2wznHoeRd1c5Fb9gROCHvMeLvKILhMdL08l0msPF4Rs2wM8e&#10;r1vnwzthFIlGQR3ql2Rlh40PfegQErNps26kTDWUmrQFvb56nacLFw/ApUaOSKJ/bLRCt+3OzLam&#10;PIKYM31veMvXDZJvmA/3zKEZ8GCMS7jDUkmDJOZsUVIb9+Vf5zEeNYKXkhbNVVCNWaJEvteoHQDD&#10;YLjB2A6G3qtbg24dYwwtTyYuuCAHs3JGfcYMLWMOuJjmyFTQMJi3oW9wzCAXy2UKQrdZFjb6wfII&#10;HcXzdrkPEDDpGkXplThrhX5LlTnPRmzoP/cp6vF/sPg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LzM9X0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right="24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color w:val="000000" w:themeColor="text1"/>
                        <w14:textFill>
                          <w14:solidFill>
                            <w14:schemeClr w14:val="tx1"/>
                          </w14:solidFill>
                        </w14:textFill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  <w:ind w:right="24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bfDwky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JHT6YQSwzQ6fvn+7fLj&#10;1+XnV4IzCFS7MEfcziEyNm9tg7EZzgMOE++m9Dp9wYjAD3nPV3lFEwlPl2bT2WwMF4dv2AA/e7zu&#10;fIjvhNUkGTn16F8rKzttQ+xCh5CUzdiNVKrtoTKkzunN6zfj9sLVA3BlkCOR6IpNVmz2Tc9sb4sz&#10;iHnbzUZwfCORfMtCfGAew4CC8VziPZZSWSSxvUVJZf2Xf52nePQIXkpqDFdODd4SJeq9Qe8AGAfD&#10;D8Z+MMxR31lMK9qBWloTF3xUg1l6qz/jDa1SDriY4ciU0ziYd7EbcLxBLlarNujovDxU3QVMnmNx&#10;a3aOpzRJyOBWxwgxW42TQJ0qvW6YvbZL/TtJw/3nvo16/Dc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t8PC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spacing w:after="0"/>
      <w:ind w:right="629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OWRmMzBmNDEwZTU2MTI0NjMwYmI4NGI0ZjA3MDMifQ=="/>
  </w:docVars>
  <w:rsids>
    <w:rsidRoot w:val="4A1947CF"/>
    <w:rsid w:val="01D372AA"/>
    <w:rsid w:val="0AFA0790"/>
    <w:rsid w:val="0BAE0BA4"/>
    <w:rsid w:val="0C670CAE"/>
    <w:rsid w:val="0DFFEE6E"/>
    <w:rsid w:val="14406385"/>
    <w:rsid w:val="15FD13CC"/>
    <w:rsid w:val="163F7B41"/>
    <w:rsid w:val="16CF2DFA"/>
    <w:rsid w:val="1D6A784F"/>
    <w:rsid w:val="1EBF1C04"/>
    <w:rsid w:val="1EE52366"/>
    <w:rsid w:val="1FFD1FC5"/>
    <w:rsid w:val="28554C19"/>
    <w:rsid w:val="2DDC571E"/>
    <w:rsid w:val="2FFF96D1"/>
    <w:rsid w:val="30BD9A67"/>
    <w:rsid w:val="35FBB560"/>
    <w:rsid w:val="37D9EA7B"/>
    <w:rsid w:val="37FF229F"/>
    <w:rsid w:val="3CB5966A"/>
    <w:rsid w:val="3D79012A"/>
    <w:rsid w:val="3F2B99C9"/>
    <w:rsid w:val="3F775F83"/>
    <w:rsid w:val="3FBE73A5"/>
    <w:rsid w:val="47AD0895"/>
    <w:rsid w:val="4A1947CF"/>
    <w:rsid w:val="56EF7078"/>
    <w:rsid w:val="57DF3FF5"/>
    <w:rsid w:val="57E7E4DD"/>
    <w:rsid w:val="57EE4D7D"/>
    <w:rsid w:val="5B70DFA3"/>
    <w:rsid w:val="5D974114"/>
    <w:rsid w:val="5DF9D040"/>
    <w:rsid w:val="5E7F46FC"/>
    <w:rsid w:val="5F602CF2"/>
    <w:rsid w:val="5FE10012"/>
    <w:rsid w:val="63B186C0"/>
    <w:rsid w:val="674558CA"/>
    <w:rsid w:val="6B7F3C06"/>
    <w:rsid w:val="6BF338DD"/>
    <w:rsid w:val="6C4BF03D"/>
    <w:rsid w:val="6D3B6788"/>
    <w:rsid w:val="6D4BF0CB"/>
    <w:rsid w:val="6F5FA60C"/>
    <w:rsid w:val="71BC1168"/>
    <w:rsid w:val="73BBE907"/>
    <w:rsid w:val="75D86DE8"/>
    <w:rsid w:val="75FFB0A7"/>
    <w:rsid w:val="775695D4"/>
    <w:rsid w:val="77FCA764"/>
    <w:rsid w:val="7ABD020C"/>
    <w:rsid w:val="7B5B1A70"/>
    <w:rsid w:val="7B7F737F"/>
    <w:rsid w:val="7B7FED33"/>
    <w:rsid w:val="7BF4F910"/>
    <w:rsid w:val="7BF7037F"/>
    <w:rsid w:val="7E9D6CA9"/>
    <w:rsid w:val="7EBF3A5F"/>
    <w:rsid w:val="7F691140"/>
    <w:rsid w:val="7F6E9579"/>
    <w:rsid w:val="7FF779AE"/>
    <w:rsid w:val="7FFF38C9"/>
    <w:rsid w:val="9E7F6F38"/>
    <w:rsid w:val="AAB7D21F"/>
    <w:rsid w:val="B7EB0593"/>
    <w:rsid w:val="BBDFAE5F"/>
    <w:rsid w:val="BBE3DA3B"/>
    <w:rsid w:val="BE0BBA97"/>
    <w:rsid w:val="BEC91856"/>
    <w:rsid w:val="BF6F30B1"/>
    <w:rsid w:val="BFA7B9CD"/>
    <w:rsid w:val="BFBF7395"/>
    <w:rsid w:val="BFFD9C3A"/>
    <w:rsid w:val="D17F64F6"/>
    <w:rsid w:val="D6B25534"/>
    <w:rsid w:val="D7EDE459"/>
    <w:rsid w:val="D9DD1E92"/>
    <w:rsid w:val="DD2F3DF0"/>
    <w:rsid w:val="DDFFD1F6"/>
    <w:rsid w:val="DEF7B234"/>
    <w:rsid w:val="E3E61319"/>
    <w:rsid w:val="EAD587DD"/>
    <w:rsid w:val="EBEB701B"/>
    <w:rsid w:val="ED28F63F"/>
    <w:rsid w:val="EDB7DAA3"/>
    <w:rsid w:val="EFB61200"/>
    <w:rsid w:val="EFDB9D1D"/>
    <w:rsid w:val="F3EFB9F1"/>
    <w:rsid w:val="F76EE807"/>
    <w:rsid w:val="F7EFBECA"/>
    <w:rsid w:val="F7FF03B5"/>
    <w:rsid w:val="F8BB91E3"/>
    <w:rsid w:val="F9BD538A"/>
    <w:rsid w:val="FA57D5C9"/>
    <w:rsid w:val="FB9FBB38"/>
    <w:rsid w:val="FBEC965F"/>
    <w:rsid w:val="FDE681AA"/>
    <w:rsid w:val="FDF11E36"/>
    <w:rsid w:val="FEDB5AB3"/>
    <w:rsid w:val="FEF5498F"/>
    <w:rsid w:val="FEF99DF8"/>
    <w:rsid w:val="FEFB2F69"/>
    <w:rsid w:val="FF5F1EE2"/>
    <w:rsid w:val="FFBF8144"/>
    <w:rsid w:val="FFCF4247"/>
    <w:rsid w:val="FFE6022E"/>
    <w:rsid w:val="FFFF38D2"/>
    <w:rsid w:val="FFFF43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39"/>
    <w:pPr>
      <w:widowControl w:val="0"/>
      <w:ind w:left="840" w:leftChars="400"/>
      <w:jc w:val="both"/>
    </w:pPr>
    <w:rPr>
      <w:rFonts w:ascii="Times New Roman" w:hAnsi="Times New Roman" w:cs="Times New Roman"/>
      <w:kern w:val="2"/>
      <w:sz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1"/>
    <w:basedOn w:val="1"/>
    <w:next w:val="1"/>
    <w:qFormat/>
    <w:uiPriority w:val="39"/>
    <w:pPr>
      <w:widowControl w:val="0"/>
      <w:jc w:val="both"/>
    </w:pPr>
    <w:rPr>
      <w:rFonts w:ascii="Times New Roman" w:hAnsi="Times New Roman" w:cs="Times New Roman"/>
      <w:kern w:val="2"/>
      <w:sz w:val="21"/>
    </w:rPr>
  </w:style>
  <w:style w:type="character" w:styleId="8">
    <w:name w:val="page number"/>
    <w:qFormat/>
    <w:uiPriority w:val="0"/>
    <w:rPr>
      <w:rFonts w:ascii="Times New Roman" w:hAnsi="Times New Roman" w:eastAsia="宋体"/>
      <w:sz w:val="18"/>
    </w:rPr>
  </w:style>
  <w:style w:type="character" w:styleId="9">
    <w:name w:val="Emphasis"/>
    <w:basedOn w:val="7"/>
    <w:qFormat/>
    <w:uiPriority w:val="0"/>
    <w:rPr>
      <w:i/>
    </w:rPr>
  </w:style>
  <w:style w:type="character" w:styleId="10">
    <w:name w:val="Hyperlink"/>
    <w:qFormat/>
    <w:uiPriority w:val="99"/>
    <w:rPr>
      <w:color w:val="0000FF"/>
      <w:spacing w:val="0"/>
      <w:w w:val="100"/>
      <w:szCs w:val="21"/>
      <w:u w:val="single"/>
    </w:rPr>
  </w:style>
  <w:style w:type="character" w:customStyle="1" w:styleId="11">
    <w:name w:val="font81"/>
    <w:basedOn w:val="7"/>
    <w:qFormat/>
    <w:uiPriority w:val="0"/>
    <w:rPr>
      <w:rFonts w:ascii="Arial" w:hAnsi="Arial" w:cs="Arial"/>
      <w:color w:val="000000"/>
      <w:sz w:val="44"/>
      <w:szCs w:val="44"/>
      <w:u w:val="none"/>
    </w:rPr>
  </w:style>
  <w:style w:type="character" w:customStyle="1" w:styleId="12">
    <w:name w:val="font91"/>
    <w:basedOn w:val="7"/>
    <w:qFormat/>
    <w:uiPriority w:val="0"/>
    <w:rPr>
      <w:rFonts w:hint="eastAsia" w:ascii="宋体" w:hAnsi="宋体" w:eastAsia="宋体" w:cs="宋体"/>
      <w:color w:val="000000"/>
      <w:sz w:val="44"/>
      <w:szCs w:val="44"/>
      <w:u w:val="none"/>
    </w:rPr>
  </w:style>
  <w:style w:type="character" w:customStyle="1" w:styleId="13">
    <w:name w:val="font71"/>
    <w:basedOn w:val="7"/>
    <w:qFormat/>
    <w:uiPriority w:val="0"/>
    <w:rPr>
      <w:rFonts w:hint="eastAsia" w:ascii="仿宋" w:hAnsi="仿宋" w:eastAsia="仿宋" w:cs="仿宋"/>
      <w:color w:val="000000"/>
      <w:sz w:val="36"/>
      <w:szCs w:val="36"/>
      <w:u w:val="none"/>
    </w:rPr>
  </w:style>
  <w:style w:type="paragraph" w:customStyle="1" w:styleId="14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5">
    <w:name w:val="目次、标准名称标题"/>
    <w:basedOn w:val="1"/>
    <w:next w:val="14"/>
    <w:qFormat/>
    <w:uiPriority w:val="0"/>
    <w:pPr>
      <w:keepNext/>
      <w:pageBreakBefore/>
      <w:shd w:val="clear" w:color="FFFFFF" w:fill="FFFFFF"/>
      <w:spacing w:before="640" w:after="560" w:line="460" w:lineRule="exact"/>
      <w:jc w:val="center"/>
      <w:outlineLvl w:val="0"/>
    </w:pPr>
    <w:rPr>
      <w:rFonts w:ascii="黑体" w:hAnsi="Times New Roman" w:eastAsia="黑体" w:cs="Times New Roman"/>
      <w:sz w:val="32"/>
      <w:szCs w:val="20"/>
    </w:rPr>
  </w:style>
  <w:style w:type="paragraph" w:customStyle="1" w:styleId="16">
    <w:name w:val="章标题"/>
    <w:next w:val="14"/>
    <w:qFormat/>
    <w:uiPriority w:val="0"/>
    <w:pPr>
      <w:spacing w:beforeLines="100" w:afterLines="10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7">
    <w:name w:val="一级条标题"/>
    <w:next w:val="14"/>
    <w:qFormat/>
    <w:uiPriority w:val="0"/>
    <w:pPr>
      <w:spacing w:beforeLines="50" w:afterLines="50"/>
      <w:outlineLvl w:val="2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18">
    <w:name w:val="二级条标题"/>
    <w:basedOn w:val="17"/>
    <w:next w:val="14"/>
    <w:qFormat/>
    <w:uiPriority w:val="0"/>
    <w:pPr>
      <w:spacing w:before="50" w:after="50"/>
      <w:outlineLvl w:val="3"/>
    </w:pPr>
  </w:style>
  <w:style w:type="paragraph" w:styleId="19">
    <w:name w:val="List Paragraph"/>
    <w:basedOn w:val="1"/>
    <w:qFormat/>
    <w:uiPriority w:val="0"/>
    <w:pPr>
      <w:ind w:firstLine="420" w:firstLineChars="200"/>
    </w:pPr>
  </w:style>
  <w:style w:type="paragraph" w:customStyle="1" w:styleId="20">
    <w:name w:val="标准书脚_奇数页"/>
    <w:qFormat/>
    <w:uiPriority w:val="0"/>
    <w:pPr>
      <w:spacing w:before="120"/>
      <w:ind w:right="198"/>
      <w:jc w:val="right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21">
    <w:name w:val="标准书眉_奇数页"/>
    <w:next w:val="1"/>
    <w:qFormat/>
    <w:uiPriority w:val="0"/>
    <w:pPr>
      <w:tabs>
        <w:tab w:val="center" w:pos="4154"/>
        <w:tab w:val="right" w:pos="8306"/>
      </w:tabs>
      <w:spacing w:after="220"/>
      <w:jc w:val="right"/>
    </w:pPr>
    <w:rPr>
      <w:rFonts w:ascii="黑体" w:hAnsi="Times New Roman" w:eastAsia="黑体" w:cs="Times New Roman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12939</Words>
  <Characters>13529</Characters>
  <Lines>0</Lines>
  <Paragraphs>0</Paragraphs>
  <TotalTime>62</TotalTime>
  <ScaleCrop>false</ScaleCrop>
  <LinksUpToDate>false</LinksUpToDate>
  <CharactersWithSpaces>13599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2018-07-20T15:11:00Z</dcterms:created>
  <dc:creator>d</dc:creator>
  <cp:lastModifiedBy>USR</cp:lastModifiedBy>
  <cp:lastPrinted>2024-05-15T22:23:00Z</cp:lastPrinted>
  <dcterms:modified xsi:type="dcterms:W3CDTF">2024-05-31T06:20:07Z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28757E34D7AB4DFDB98D27D038B3B7FE_13</vt:lpwstr>
  </property>
</Properties>
</file>