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ind w:firstLine="0" w:firstLineChars="0"/>
        <w:jc w:val="both"/>
        <w:rPr>
          <w:rFonts w:hint="default" w:ascii="Times New Roman" w:hAnsi="Times New Roman" w:eastAsia="黑体" w:cs="Times New Roman"/>
          <w:color w:val="000000" w:themeColor="text1"/>
          <w:sz w:val="32"/>
          <w:szCs w:val="32"/>
          <w:lang w:val="en-US" w:eastAsia="zh-CN"/>
          <w14:textFill>
            <w14:solidFill>
              <w14:schemeClr w14:val="tx1"/>
            </w14:solidFill>
          </w14:textFill>
        </w:rPr>
      </w:pPr>
      <w:r>
        <w:rPr>
          <w:rFonts w:hint="eastAsia" w:ascii="Times New Roman" w:eastAsia="黑体" w:cs="Times New Roman"/>
          <w:color w:val="000000" w:themeColor="text1"/>
          <w:sz w:val="32"/>
          <w:szCs w:val="32"/>
          <w:lang w:val="en-US" w:eastAsia="zh-CN"/>
          <w14:textFill>
            <w14:solidFill>
              <w14:schemeClr w14:val="tx1"/>
            </w14:solidFill>
          </w14:textFill>
        </w:rPr>
        <w:t xml:space="preserve"> </w:t>
      </w:r>
    </w:p>
    <w:p>
      <w:pPr>
        <w:pStyle w:val="14"/>
        <w:ind w:firstLine="0" w:firstLineChars="0"/>
        <w:jc w:val="center"/>
        <w:rPr>
          <w:rFonts w:ascii="华文中宋" w:hAnsi="华文中宋" w:eastAsia="华文中宋" w:cs="华文中宋"/>
          <w:color w:val="000000" w:themeColor="text1"/>
          <w:sz w:val="44"/>
          <w:szCs w:val="44"/>
          <w14:textFill>
            <w14:solidFill>
              <w14:schemeClr w14:val="tx1"/>
            </w14:solidFill>
          </w14:textFill>
        </w:rPr>
      </w:pPr>
    </w:p>
    <w:p>
      <w:pPr>
        <w:pStyle w:val="14"/>
        <w:ind w:firstLine="0" w:firstLineChars="0"/>
        <w:jc w:val="center"/>
        <w:rPr>
          <w:rFonts w:ascii="华文中宋" w:hAnsi="华文中宋" w:eastAsia="华文中宋" w:cs="华文中宋"/>
          <w:color w:val="000000" w:themeColor="text1"/>
          <w:sz w:val="44"/>
          <w:szCs w:val="44"/>
          <w14:textFill>
            <w14:solidFill>
              <w14:schemeClr w14:val="tx1"/>
            </w14:solidFill>
          </w14:textFill>
        </w:rPr>
      </w:pPr>
    </w:p>
    <w:p>
      <w:pPr>
        <w:pStyle w:val="14"/>
        <w:ind w:firstLine="0" w:firstLineChars="0"/>
        <w:rPr>
          <w:rFonts w:ascii="华文中宋" w:hAnsi="华文中宋" w:eastAsia="华文中宋" w:cs="华文中宋"/>
          <w:color w:val="000000" w:themeColor="text1"/>
          <w:sz w:val="44"/>
          <w:szCs w:val="44"/>
          <w14:textFill>
            <w14:solidFill>
              <w14:schemeClr w14:val="tx1"/>
            </w14:solidFill>
          </w14:textFill>
        </w:rPr>
      </w:pPr>
    </w:p>
    <w:p>
      <w:pPr>
        <w:pStyle w:val="14"/>
        <w:ind w:firstLine="0" w:firstLineChars="0"/>
        <w:jc w:val="center"/>
        <w:rPr>
          <w:rFonts w:ascii="华文中宋" w:hAnsi="华文中宋" w:eastAsia="华文中宋" w:cs="华文中宋"/>
          <w:color w:val="000000" w:themeColor="text1"/>
          <w:sz w:val="44"/>
          <w:szCs w:val="44"/>
          <w14:textFill>
            <w14:solidFill>
              <w14:schemeClr w14:val="tx1"/>
            </w14:solidFill>
          </w14:textFill>
        </w:rPr>
      </w:pPr>
      <w:bookmarkStart w:id="101" w:name="_GoBack"/>
      <w:r>
        <w:rPr>
          <w:rFonts w:hint="eastAsia" w:ascii="华文中宋" w:hAnsi="华文中宋" w:eastAsia="华文中宋" w:cs="华文中宋"/>
          <w:color w:val="000000" w:themeColor="text1"/>
          <w:sz w:val="44"/>
          <w:szCs w:val="44"/>
          <w14:textFill>
            <w14:solidFill>
              <w14:schemeClr w14:val="tx1"/>
            </w14:solidFill>
          </w14:textFill>
        </w:rPr>
        <w:t>职业技能线上培训平台运营服务规范</w:t>
      </w:r>
    </w:p>
    <w:bookmarkEnd w:id="101"/>
    <w:p>
      <w:pPr>
        <w:pStyle w:val="14"/>
        <w:ind w:firstLine="418" w:firstLineChars="95"/>
        <w:rPr>
          <w:rFonts w:ascii="华文中宋" w:hAnsi="华文中宋" w:eastAsia="华文中宋" w:cs="华文中宋"/>
          <w:color w:val="000000" w:themeColor="text1"/>
          <w:sz w:val="44"/>
          <w:szCs w:val="44"/>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rPr>
          <w:color w:val="000000" w:themeColor="text1"/>
          <w14:textFill>
            <w14:solidFill>
              <w14:schemeClr w14:val="tx1"/>
            </w14:solidFill>
          </w14:textFill>
        </w:rPr>
      </w:pPr>
    </w:p>
    <w:p>
      <w:pPr>
        <w:pStyle w:val="14"/>
        <w:ind w:firstLine="0" w:firstLineChars="0"/>
        <w:jc w:val="center"/>
        <w:rPr>
          <w:rFonts w:ascii="楷体_GB2312" w:eastAsia="楷体_GB2312"/>
          <w:color w:val="000000" w:themeColor="text1"/>
          <w:sz w:val="32"/>
          <w:szCs w:val="32"/>
          <w14:textFill>
            <w14:solidFill>
              <w14:schemeClr w14:val="tx1"/>
            </w14:solidFill>
          </w14:textFill>
        </w:rPr>
        <w:sectPr>
          <w:footerReference r:id="rId4" w:type="first"/>
          <w:footerReference r:id="rId3" w:type="default"/>
          <w:pgSz w:w="11906" w:h="16838"/>
          <w:pgMar w:top="1440" w:right="1800" w:bottom="1440" w:left="1800" w:header="1247" w:footer="964" w:gutter="0"/>
          <w:pgNumType w:fmt="decimal" w:start="1"/>
          <w:cols w:space="425" w:num="1"/>
          <w:formProt w:val="0"/>
          <w:docGrid w:type="lines" w:linePitch="326" w:charSpace="0"/>
        </w:sectPr>
      </w:pPr>
      <w:r>
        <w:rPr>
          <w:rFonts w:hint="eastAsia" w:ascii="Times New Roman" w:eastAsia="楷体_GB2312"/>
          <w:color w:val="000000" w:themeColor="text1"/>
          <w:sz w:val="32"/>
          <w:szCs w:val="32"/>
          <w14:textFill>
            <w14:solidFill>
              <w14:schemeClr w14:val="tx1"/>
            </w14:solidFill>
          </w14:textFill>
        </w:rPr>
        <w:t>202</w:t>
      </w:r>
      <w:r>
        <w:rPr>
          <w:rFonts w:hint="eastAsia" w:ascii="Times New Roman" w:eastAsia="楷体_GB2312"/>
          <w:color w:val="000000" w:themeColor="text1"/>
          <w:sz w:val="32"/>
          <w:szCs w:val="32"/>
          <w:lang w:val="en-US" w:eastAsia="zh-CN"/>
          <w14:textFill>
            <w14:solidFill>
              <w14:schemeClr w14:val="tx1"/>
            </w14:solidFill>
          </w14:textFill>
        </w:rPr>
        <w:t>4</w:t>
      </w:r>
      <w:r>
        <w:rPr>
          <w:rFonts w:hint="eastAsia" w:ascii="楷体_GB2312" w:eastAsia="楷体_GB2312"/>
          <w:color w:val="000000" w:themeColor="text1"/>
          <w:sz w:val="32"/>
          <w:szCs w:val="32"/>
          <w14:textFill>
            <w14:solidFill>
              <w14:schemeClr w14:val="tx1"/>
            </w14:solidFill>
          </w14:textFill>
        </w:rPr>
        <w:t>年</w:t>
      </w:r>
    </w:p>
    <w:p>
      <w:pPr>
        <w:pStyle w:val="15"/>
        <w:rPr>
          <w:rFonts w:hAnsi="宋体" w:cs="宋体"/>
          <w:color w:val="000000" w:themeColor="text1"/>
          <w14:textFill>
            <w14:solidFill>
              <w14:schemeClr w14:val="tx1"/>
            </w14:solidFill>
          </w14:textFill>
        </w:rPr>
      </w:pPr>
      <w:bookmarkStart w:id="0" w:name="_Toc22730708"/>
      <w:bookmarkStart w:id="1" w:name="_Toc22740610"/>
      <w:bookmarkStart w:id="2" w:name="_Toc518463125"/>
      <w:r>
        <w:rPr>
          <w:rFonts w:hint="eastAsia" w:hAnsi="宋体" w:cs="宋体"/>
          <w:color w:val="000000" w:themeColor="text1"/>
          <w14:textFill>
            <w14:solidFill>
              <w14:schemeClr w14:val="tx1"/>
            </w14:solidFill>
          </w14:textFill>
        </w:rPr>
        <w:t>目</w:t>
      </w:r>
      <w:bookmarkStart w:id="3" w:name="BKML"/>
      <w:r>
        <w:rPr>
          <w:rFonts w:hint="eastAsia" w:hAnsi="宋体" w:cs="宋体"/>
          <w:color w:val="000000" w:themeColor="text1"/>
          <w14:textFill>
            <w14:solidFill>
              <w14:schemeClr w14:val="tx1"/>
            </w14:solidFill>
          </w14:textFill>
        </w:rPr>
        <w:t>  </w:t>
      </w:r>
      <w:bookmarkEnd w:id="3"/>
      <w:r>
        <w:rPr>
          <w:rFonts w:hint="eastAsia" w:hAnsi="宋体" w:cs="宋体"/>
          <w:color w:val="000000" w:themeColor="text1"/>
          <w14:textFill>
            <w14:solidFill>
              <w14:schemeClr w14:val="tx1"/>
            </w14:solidFill>
          </w14:textFill>
        </w:rPr>
        <w:t>录</w:t>
      </w:r>
    </w:p>
    <w:p>
      <w:pPr>
        <w:pStyle w:val="5"/>
        <w:tabs>
          <w:tab w:val="right" w:leader="dot" w:pos="8296"/>
        </w:tabs>
        <w:rPr>
          <w:rFonts w:asciiTheme="minorHAnsi" w:hAnsiTheme="minorHAnsi" w:eastAsiaTheme="minorEastAsia" w:cstheme="minorBidi"/>
          <w:color w:val="000000" w:themeColor="text1"/>
          <w:szCs w:val="22"/>
          <w14:textFill>
            <w14:solidFill>
              <w14:schemeClr w14:val="tx1"/>
            </w14:solidFill>
          </w14:textFill>
        </w:rPr>
      </w:pPr>
      <w:r>
        <w:rPr>
          <w:color w:val="000000" w:themeColor="text1"/>
          <w:kern w:val="0"/>
          <w:sz w:val="24"/>
          <w14:textFill>
            <w14:solidFill>
              <w14:schemeClr w14:val="tx1"/>
            </w14:solidFill>
          </w14:textFill>
        </w:rPr>
        <w:fldChar w:fldCharType="begin"/>
      </w:r>
      <w:r>
        <w:rPr>
          <w:color w:val="000000" w:themeColor="text1"/>
          <w:sz w:val="24"/>
          <w14:textFill>
            <w14:solidFill>
              <w14:schemeClr w14:val="tx1"/>
            </w14:solidFill>
          </w14:textFill>
        </w:rPr>
        <w:instrText xml:space="preserve"> TOC \h \z \t "前言、引言标题,1,参考文献、索引标题,1,章标题,1,参考文献,1,附录标识,1,一级条标题,3" </w:instrText>
      </w:r>
      <w:r>
        <w:rPr>
          <w:color w:val="000000" w:themeColor="text1"/>
          <w:kern w:val="0"/>
          <w:sz w:val="24"/>
          <w14:textFill>
            <w14:solidFill>
              <w14:schemeClr w14:val="tx1"/>
            </w14:solidFill>
          </w14:textFill>
        </w:rPr>
        <w:fldChar w:fldCharType="separate"/>
      </w:r>
      <w:r>
        <w:fldChar w:fldCharType="begin"/>
      </w:r>
      <w:r>
        <w:instrText xml:space="preserve"> HYPERLINK \l "_Toc152595332" </w:instrText>
      </w:r>
      <w:r>
        <w:fldChar w:fldCharType="separate"/>
      </w:r>
      <w:r>
        <w:rPr>
          <w:rStyle w:val="10"/>
          <w:color w:val="000000" w:themeColor="text1"/>
          <w14:textFill>
            <w14:solidFill>
              <w14:schemeClr w14:val="tx1"/>
            </w14:solidFill>
          </w14:textFill>
        </w:rPr>
        <w:t>1适用范围</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5"/>
        <w:tabs>
          <w:tab w:val="right" w:leader="dot" w:pos="829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"_Toc152595333" </w:instrText>
      </w:r>
      <w:r>
        <w:fldChar w:fldCharType="separate"/>
      </w:r>
      <w:r>
        <w:rPr>
          <w:rStyle w:val="10"/>
          <w:color w:val="000000" w:themeColor="text1"/>
          <w14:textFill>
            <w14:solidFill>
              <w14:schemeClr w14:val="tx1"/>
            </w14:solidFill>
          </w14:textFill>
        </w:rPr>
        <w:t>2规范性引用文件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5"/>
        <w:tabs>
          <w:tab w:val="right" w:leader="dot" w:pos="829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"_Toc152595334" </w:instrText>
      </w:r>
      <w:r>
        <w:fldChar w:fldCharType="separate"/>
      </w:r>
      <w:r>
        <w:rPr>
          <w:rStyle w:val="10"/>
          <w:color w:val="000000" w:themeColor="text1"/>
          <w14:textFill>
            <w14:solidFill>
              <w14:schemeClr w14:val="tx1"/>
            </w14:solidFill>
          </w14:textFill>
        </w:rPr>
        <w:t>3平台关键要素及要求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
        <w:tabs>
          <w:tab w:val="right" w:leader="dot" w:pos="8296"/>
        </w:tabs>
        <w:ind w:left="960"/>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"_Toc152595335" </w:instrText>
      </w:r>
      <w:r>
        <w:fldChar w:fldCharType="separate"/>
      </w:r>
      <w:r>
        <w:rPr>
          <w:rStyle w:val="10"/>
          <w:color w:val="000000" w:themeColor="text1"/>
          <w14:textFill>
            <w14:solidFill>
              <w14:schemeClr w14:val="tx1"/>
            </w14:solidFill>
          </w14:textFill>
        </w:rPr>
        <w:t>3.1基本要求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
        <w:tabs>
          <w:tab w:val="right" w:leader="dot" w:pos="8296"/>
        </w:tabs>
        <w:ind w:left="960"/>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"_Toc152595336" </w:instrText>
      </w:r>
      <w:r>
        <w:fldChar w:fldCharType="separate"/>
      </w:r>
      <w:r>
        <w:rPr>
          <w:rStyle w:val="10"/>
          <w:color w:val="000000" w:themeColor="text1"/>
          <w14:textFill>
            <w14:solidFill>
              <w14:schemeClr w14:val="tx1"/>
            </w14:solidFill>
          </w14:textFill>
        </w:rPr>
        <w:t>3.2培训管理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
        <w:tabs>
          <w:tab w:val="right" w:leader="dot" w:pos="8296"/>
        </w:tabs>
        <w:ind w:left="960"/>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"_Toc152595337" </w:instrText>
      </w:r>
      <w:r>
        <w:fldChar w:fldCharType="separate"/>
      </w:r>
      <w:r>
        <w:rPr>
          <w:rStyle w:val="10"/>
          <w:color w:val="000000" w:themeColor="text1"/>
          <w14:textFill>
            <w14:solidFill>
              <w14:schemeClr w14:val="tx1"/>
            </w14:solidFill>
          </w14:textFill>
        </w:rPr>
        <w:t>3.3学习服务</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
        <w:tabs>
          <w:tab w:val="right" w:leader="dot" w:pos="8296"/>
        </w:tabs>
        <w:ind w:left="960"/>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"_Toc152595338" </w:instrText>
      </w:r>
      <w:r>
        <w:fldChar w:fldCharType="separate"/>
      </w:r>
      <w:r>
        <w:rPr>
          <w:rStyle w:val="10"/>
          <w:color w:val="000000" w:themeColor="text1"/>
          <w14:textFill>
            <w14:solidFill>
              <w14:schemeClr w14:val="tx1"/>
            </w14:solidFill>
          </w14:textFill>
        </w:rPr>
        <w:t>3.4运营管理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5"/>
        <w:tabs>
          <w:tab w:val="right" w:leader="dot" w:pos="829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"_Toc152595339" </w:instrText>
      </w:r>
      <w:r>
        <w:fldChar w:fldCharType="separate"/>
      </w:r>
      <w:r>
        <w:rPr>
          <w:rStyle w:val="10"/>
          <w:color w:val="000000" w:themeColor="text1"/>
          <w14:textFill>
            <w14:solidFill>
              <w14:schemeClr w14:val="tx1"/>
            </w14:solidFill>
          </w14:textFill>
        </w:rPr>
        <w:t>4平台类别及分类规则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_Toc152595339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5"/>
        <w:tabs>
          <w:tab w:val="right" w:leader="dot" w:pos="8296"/>
        </w:tabs>
        <w:rPr>
          <w:rFonts w:hint="default" w:ascii="Times New Roman" w:hAnsi="Times New Roman" w:cs="Times New Roman" w:eastAsiaTheme="minorEastAsia"/>
          <w:b w:val="0"/>
          <w:bCs w:val="0"/>
          <w:color w:val="000000" w:themeColor="text1"/>
          <w:szCs w:val="22"/>
          <w14:textFill>
            <w14:solidFill>
              <w14:schemeClr w14:val="tx1"/>
            </w14:solidFill>
          </w14:textFill>
        </w:rPr>
      </w:pPr>
      <w:r>
        <w:rPr>
          <w:rFonts w:hint="default" w:ascii="Times New Roman" w:hAnsi="Times New Roman" w:cs="Times New Roman" w:eastAsiaTheme="minorEastAsia"/>
          <w:b w:val="0"/>
          <w:bCs w:val="0"/>
        </w:rPr>
        <w:fldChar w:fldCharType="begin"/>
      </w:r>
      <w:r>
        <w:rPr>
          <w:rFonts w:hint="default" w:ascii="Times New Roman" w:hAnsi="Times New Roman" w:cs="Times New Roman" w:eastAsiaTheme="minorEastAsia"/>
          <w:b w:val="0"/>
          <w:bCs w:val="0"/>
        </w:rPr>
        <w:instrText xml:space="preserve"> HYPERLINK \l "_Toc152595340" </w:instrText>
      </w:r>
      <w:r>
        <w:rPr>
          <w:rFonts w:hint="default" w:ascii="Times New Roman" w:hAnsi="Times New Roman" w:cs="Times New Roman" w:eastAsiaTheme="minorEastAsia"/>
          <w:b w:val="0"/>
          <w:bCs w:val="0"/>
        </w:rPr>
        <w:fldChar w:fldCharType="separate"/>
      </w:r>
      <w:r>
        <w:rPr>
          <w:rStyle w:val="10"/>
          <w:rFonts w:hint="default" w:ascii="Times New Roman" w:hAnsi="Times New Roman" w:cs="Times New Roman" w:eastAsiaTheme="minorEastAsia"/>
          <w:b w:val="0"/>
          <w:bCs w:val="0"/>
          <w:color w:val="000000" w:themeColor="text1"/>
          <w14:textFill>
            <w14:solidFill>
              <w14:schemeClr w14:val="tx1"/>
            </w14:solidFill>
          </w14:textFill>
        </w:rPr>
        <w:t>附件</w:t>
      </w:r>
      <w:r>
        <w:rPr>
          <w:rStyle w:val="10"/>
          <w:rFonts w:hint="default" w:ascii="Times New Roman" w:hAnsi="Times New Roman" w:cs="Times New Roman" w:eastAsiaTheme="minorEastAsia"/>
          <w:b w:val="0"/>
          <w:bCs w:val="0"/>
          <w:color w:val="000000" w:themeColor="text1"/>
          <w:lang w:eastAsia="zh-CN"/>
          <w14:textFill>
            <w14:solidFill>
              <w14:schemeClr w14:val="tx1"/>
            </w14:solidFill>
          </w14:textFill>
        </w:rPr>
        <w:t>：</w:t>
      </w:r>
      <w:r>
        <w:rPr>
          <w:rStyle w:val="10"/>
          <w:rFonts w:hint="default" w:ascii="Times New Roman" w:hAnsi="Times New Roman" w:cs="Times New Roman" w:eastAsiaTheme="minorEastAsia"/>
          <w:b w:val="0"/>
          <w:bCs w:val="0"/>
          <w:color w:val="000000" w:themeColor="text1"/>
          <w14:textFill>
            <w14:solidFill>
              <w14:schemeClr w14:val="tx1"/>
            </w14:solidFill>
          </w14:textFill>
        </w:rPr>
        <w:t>职业技能线上培训平台运营服务质量评估表</w:t>
      </w:r>
      <w:r>
        <w:rPr>
          <w:rStyle w:val="10"/>
          <w:rFonts w:hint="default" w:ascii="Times New Roman" w:hAnsi="Times New Roman" w:cs="Times New Roman" w:eastAsiaTheme="minorEastAsia"/>
          <w:b w:val="0"/>
          <w:bCs w:val="0"/>
          <w:color w:val="000000" w:themeColor="text1"/>
          <w:lang w:eastAsia="zh-CN"/>
          <w14:textFill>
            <w14:solidFill>
              <w14:schemeClr w14:val="tx1"/>
            </w14:solidFill>
          </w14:textFill>
        </w:rPr>
        <w:t>（</w:t>
      </w:r>
      <w:r>
        <w:rPr>
          <w:rStyle w:val="10"/>
          <w:rFonts w:hint="default" w:ascii="Times New Roman" w:hAnsi="Times New Roman" w:cs="Times New Roman" w:eastAsiaTheme="minorEastAsia"/>
          <w:b w:val="0"/>
          <w:bCs w:val="0"/>
          <w:color w:val="000000" w:themeColor="text1"/>
          <w:lang w:val="en-US" w:eastAsia="zh-CN"/>
          <w14:textFill>
            <w14:solidFill>
              <w14:schemeClr w14:val="tx1"/>
            </w14:solidFill>
          </w14:textFill>
        </w:rPr>
        <w:t>参考</w:t>
      </w:r>
      <w:r>
        <w:rPr>
          <w:rStyle w:val="10"/>
          <w:rFonts w:hint="default" w:ascii="Times New Roman" w:hAnsi="Times New Roman" w:cs="Times New Roman" w:eastAsiaTheme="minorEastAsia"/>
          <w:b w:val="0"/>
          <w:bCs w:val="0"/>
          <w:color w:val="000000" w:themeColor="text1"/>
          <w:lang w:eastAsia="zh-CN"/>
          <w14:textFill>
            <w14:solidFill>
              <w14:schemeClr w14:val="tx1"/>
            </w14:solidFill>
          </w14:textFill>
        </w:rPr>
        <w:t>）</w:t>
      </w:r>
      <w:r>
        <w:rPr>
          <w:rFonts w:hint="default" w:ascii="Times New Roman" w:hAnsi="Times New Roman" w:cs="Times New Roman" w:eastAsiaTheme="minorEastAsia"/>
          <w:b w:val="0"/>
          <w:bCs w:val="0"/>
          <w:color w:val="000000" w:themeColor="text1"/>
          <w14:textFill>
            <w14:solidFill>
              <w14:schemeClr w14:val="tx1"/>
            </w14:solidFill>
          </w14:textFill>
        </w:rPr>
        <w:tab/>
      </w:r>
      <w:r>
        <w:rPr>
          <w:rFonts w:hint="default" w:ascii="Times New Roman" w:hAnsi="Times New Roman" w:cs="Times New Roman" w:eastAsiaTheme="minorEastAsia"/>
          <w:b w:val="0"/>
          <w:bCs w:val="0"/>
          <w:color w:val="000000" w:themeColor="text1"/>
          <w14:textFill>
            <w14:solidFill>
              <w14:schemeClr w14:val="tx1"/>
            </w14:solidFill>
          </w14:textFill>
        </w:rPr>
        <w:fldChar w:fldCharType="begin"/>
      </w:r>
      <w:r>
        <w:rPr>
          <w:rFonts w:hint="default" w:ascii="Times New Roman" w:hAnsi="Times New Roman" w:cs="Times New Roman" w:eastAsiaTheme="minorEastAsia"/>
          <w:b w:val="0"/>
          <w:bCs w:val="0"/>
          <w:color w:val="000000" w:themeColor="text1"/>
          <w14:textFill>
            <w14:solidFill>
              <w14:schemeClr w14:val="tx1"/>
            </w14:solidFill>
          </w14:textFill>
        </w:rPr>
        <w:instrText xml:space="preserve"> PAGEREF _Toc152595340 \h </w:instrText>
      </w:r>
      <w:r>
        <w:rPr>
          <w:rFonts w:hint="default" w:ascii="Times New Roman" w:hAnsi="Times New Roman" w:cs="Times New Roman" w:eastAsiaTheme="minorEastAsia"/>
          <w:b w:val="0"/>
          <w:bCs w:val="0"/>
          <w:color w:val="000000" w:themeColor="text1"/>
          <w14:textFill>
            <w14:solidFill>
              <w14:schemeClr w14:val="tx1"/>
            </w14:solidFill>
          </w14:textFill>
        </w:rPr>
        <w:fldChar w:fldCharType="separate"/>
      </w:r>
      <w:r>
        <w:rPr>
          <w:rFonts w:hint="default" w:ascii="Times New Roman" w:hAnsi="Times New Roman" w:cs="Times New Roman" w:eastAsiaTheme="minorEastAsia"/>
          <w:b w:val="0"/>
          <w:bCs w:val="0"/>
          <w:color w:val="000000" w:themeColor="text1"/>
          <w14:textFill>
            <w14:solidFill>
              <w14:schemeClr w14:val="tx1"/>
            </w14:solidFill>
          </w14:textFill>
        </w:rPr>
        <w:t>8</w:t>
      </w:r>
      <w:r>
        <w:rPr>
          <w:rFonts w:hint="default" w:ascii="Times New Roman" w:hAnsi="Times New Roman" w:cs="Times New Roman" w:eastAsiaTheme="minorEastAsia"/>
          <w:b w:val="0"/>
          <w:bCs w:val="0"/>
          <w:color w:val="000000" w:themeColor="text1"/>
          <w14:textFill>
            <w14:solidFill>
              <w14:schemeClr w14:val="tx1"/>
            </w14:solidFill>
          </w14:textFill>
        </w:rPr>
        <w:fldChar w:fldCharType="end"/>
      </w:r>
      <w:r>
        <w:rPr>
          <w:rFonts w:hint="default" w:ascii="Times New Roman" w:hAnsi="Times New Roman" w:cs="Times New Roman" w:eastAsiaTheme="minorEastAsia"/>
          <w:b w:val="0"/>
          <w:bCs w:val="0"/>
          <w:color w:val="000000" w:themeColor="text1"/>
          <w14:textFill>
            <w14:solidFill>
              <w14:schemeClr w14:val="tx1"/>
            </w14:solidFill>
          </w14:textFill>
        </w:rPr>
        <w:fldChar w:fldCharType="end"/>
      </w:r>
    </w:p>
    <w:p>
      <w:pPr>
        <w:pStyle w:val="5"/>
        <w:widowControl/>
        <w:tabs>
          <w:tab w:val="right" w:leader="dot" w:pos="8306"/>
        </w:tabs>
        <w:jc w:val="left"/>
        <w:rPr>
          <w:color w:val="000000" w:themeColor="text1"/>
          <w:sz w:val="32"/>
          <w:szCs w:val="32"/>
          <w14:textFill>
            <w14:solidFill>
              <w14:schemeClr w14:val="tx1"/>
            </w14:solidFill>
          </w14:textFill>
        </w:rPr>
      </w:pPr>
      <w:r>
        <w:rPr>
          <w:color w:val="000000" w:themeColor="text1"/>
          <w:kern w:val="0"/>
          <w:sz w:val="24"/>
          <w14:textFill>
            <w14:solidFill>
              <w14:schemeClr w14:val="tx1"/>
            </w14:solidFill>
          </w14:textFill>
        </w:rPr>
        <w:fldChar w:fldCharType="end"/>
      </w:r>
    </w:p>
    <w:bookmarkEnd w:id="0"/>
    <w:bookmarkEnd w:id="1"/>
    <w:bookmarkEnd w:id="2"/>
    <w:p>
      <w:pPr>
        <w:pStyle w:val="15"/>
        <w:snapToGrid w:val="0"/>
        <w:spacing w:before="0" w:line="600" w:lineRule="exact"/>
        <w:rPr>
          <w:rFonts w:ascii="华文中宋" w:hAnsi="华文中宋" w:eastAsia="华文中宋" w:cs="华文中宋"/>
          <w:color w:val="000000" w:themeColor="text1"/>
          <w14:textFill>
            <w14:solidFill>
              <w14:schemeClr w14:val="tx1"/>
            </w14:solidFill>
          </w14:textFill>
        </w:rPr>
      </w:pPr>
      <w:r>
        <w:rPr>
          <w:rFonts w:hint="eastAsia" w:ascii="华文中宋" w:hAnsi="华文中宋" w:eastAsia="华文中宋" w:cs="华文中宋"/>
          <w:color w:val="000000" w:themeColor="text1"/>
          <w14:textFill>
            <w14:solidFill>
              <w14:schemeClr w14:val="tx1"/>
            </w14:solidFill>
          </w14:textFill>
        </w:rPr>
        <w:t>职业技能线上培训平台运营服务规范</w:t>
      </w:r>
      <w:bookmarkStart w:id="4" w:name="pindex36"/>
      <w:bookmarkEnd w:id="4"/>
    </w:p>
    <w:p>
      <w:pPr>
        <w:pStyle w:val="16"/>
        <w:spacing w:before="326" w:after="326"/>
        <w:rPr>
          <w:color w:val="000000" w:themeColor="text1"/>
          <w:szCs w:val="21"/>
          <w14:textFill>
            <w14:solidFill>
              <w14:schemeClr w14:val="tx1"/>
            </w14:solidFill>
          </w14:textFill>
        </w:rPr>
      </w:pPr>
      <w:bookmarkStart w:id="5" w:name="_Toc149132241"/>
      <w:bookmarkStart w:id="6" w:name="_Toc150162434"/>
      <w:bookmarkStart w:id="7" w:name="_Toc152595332"/>
      <w:bookmarkStart w:id="8" w:name="_Toc518463126"/>
      <w:bookmarkStart w:id="9" w:name="_Toc22730709"/>
      <w:bookmarkStart w:id="10" w:name="_Toc22740611"/>
      <w:bookmarkStart w:id="11" w:name="_Toc518459950"/>
      <w:r>
        <w:rPr>
          <w:rFonts w:hint="eastAsia" w:ascii="Times New Roman"/>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适用范围</w:t>
      </w:r>
      <w:bookmarkEnd w:id="5"/>
      <w:bookmarkEnd w:id="6"/>
      <w:bookmarkEnd w:id="7"/>
      <w:bookmarkEnd w:id="8"/>
      <w:bookmarkEnd w:id="9"/>
      <w:bookmarkEnd w:id="10"/>
      <w:bookmarkEnd w:id="11"/>
      <w:bookmarkStart w:id="12" w:name="pindex37"/>
      <w:bookmarkEnd w:id="12"/>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本规范给出了职业技能线上培训平台（以下简称“平台”）在基本要求、培训管理、学习服务、运营管理方面的要求。</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本规范适用于线上平台遴选、运营、管理和分类分级评价。</w:t>
      </w:r>
    </w:p>
    <w:p>
      <w:pPr>
        <w:pStyle w:val="16"/>
        <w:spacing w:before="326" w:after="326"/>
        <w:rPr>
          <w:color w:val="000000" w:themeColor="text1"/>
          <w:szCs w:val="21"/>
          <w14:textFill>
            <w14:solidFill>
              <w14:schemeClr w14:val="tx1"/>
            </w14:solidFill>
          </w14:textFill>
        </w:rPr>
      </w:pPr>
      <w:bookmarkStart w:id="13" w:name="_Toc22740612"/>
      <w:bookmarkStart w:id="14" w:name="_Toc150162435"/>
      <w:bookmarkStart w:id="15" w:name="_Toc22730710"/>
      <w:bookmarkStart w:id="16" w:name="_Toc152595333"/>
      <w:bookmarkStart w:id="17" w:name="_Toc149132242"/>
      <w:bookmarkStart w:id="18" w:name="_Toc518463127"/>
      <w:bookmarkStart w:id="19" w:name="_Toc518459951"/>
      <w:r>
        <w:rPr>
          <w:rFonts w:hint="eastAsia" w:ascii="Times New Roman"/>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规范性引用文件</w:t>
      </w:r>
      <w:bookmarkEnd w:id="13"/>
      <w:bookmarkEnd w:id="14"/>
      <w:bookmarkEnd w:id="15"/>
      <w:bookmarkEnd w:id="16"/>
      <w:bookmarkEnd w:id="17"/>
      <w:bookmarkEnd w:id="18"/>
      <w:bookmarkEnd w:id="19"/>
      <w:bookmarkStart w:id="20" w:name="pindex40"/>
      <w:bookmarkEnd w:id="20"/>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下列文件对于本文件的应用是必不可少的。凡是注日期的引用文件，仅所注日期的版本适用于本文件。凡是不注日期的引用文件，其最新版本（包括所有的修改单）适用于本文件。</w:t>
      </w:r>
    </w:p>
    <w:p>
      <w:pPr>
        <w:pStyle w:val="14"/>
        <w:rPr>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GB</w:t>
      </w:r>
      <w:r>
        <w:rPr>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T22081</w:t>
      </w:r>
      <w:r>
        <w:rPr>
          <w:rFonts w:hint="eastAsia"/>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2008</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信息技术 安全技术 信息安全管理实用规则</w:t>
      </w:r>
    </w:p>
    <w:p>
      <w:pPr>
        <w:pStyle w:val="14"/>
        <w:rPr>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GB</w:t>
      </w:r>
      <w:r>
        <w:rPr>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T</w:t>
      </w:r>
      <w:r>
        <w:rPr>
          <w:color w:val="000000" w:themeColor="text1"/>
          <w:szCs w:val="21"/>
          <w14:textFill>
            <w14:solidFill>
              <w14:schemeClr w14:val="tx1"/>
            </w14:solidFill>
          </w14:textFill>
        </w:rPr>
        <w:t xml:space="preserve"> </w:t>
      </w:r>
      <w:r>
        <w:rPr>
          <w:rFonts w:ascii="Times New Roman"/>
          <w:color w:val="000000" w:themeColor="text1"/>
          <w:szCs w:val="21"/>
          <w14:textFill>
            <w14:solidFill>
              <w14:schemeClr w14:val="tx1"/>
            </w14:solidFill>
          </w14:textFill>
        </w:rPr>
        <w:t>26997</w:t>
      </w:r>
      <w:r>
        <w:rPr>
          <w:rFonts w:hint="eastAsia"/>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2011</w:t>
      </w:r>
      <w:r>
        <w:rPr>
          <w:color w:val="000000" w:themeColor="text1"/>
          <w:szCs w:val="21"/>
          <w14:textFill>
            <w14:solidFill>
              <w14:schemeClr w14:val="tx1"/>
            </w14:solidFill>
          </w14:textFill>
        </w:rPr>
        <w:t xml:space="preserve"> 非正规教育与培训的学习服务 术语</w:t>
      </w:r>
    </w:p>
    <w:p>
      <w:pPr>
        <w:pStyle w:val="14"/>
        <w:rPr>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GB</w:t>
      </w:r>
      <w:r>
        <w:rPr>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T</w:t>
      </w:r>
      <w:r>
        <w:rPr>
          <w:color w:val="000000" w:themeColor="text1"/>
          <w:szCs w:val="21"/>
          <w14:textFill>
            <w14:solidFill>
              <w14:schemeClr w14:val="tx1"/>
            </w14:solidFill>
          </w14:textFill>
        </w:rPr>
        <w:t xml:space="preserve"> </w:t>
      </w:r>
      <w:r>
        <w:rPr>
          <w:rFonts w:ascii="Times New Roman"/>
          <w:color w:val="000000" w:themeColor="text1"/>
          <w:szCs w:val="21"/>
          <w14:textFill>
            <w14:solidFill>
              <w14:schemeClr w14:val="tx1"/>
            </w14:solidFill>
          </w14:textFill>
        </w:rPr>
        <w:t>29358</w:t>
      </w:r>
      <w:r>
        <w:rPr>
          <w:rFonts w:hint="eastAsia"/>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2012</w:t>
      </w:r>
      <w:r>
        <w:rPr>
          <w:color w:val="000000" w:themeColor="text1"/>
          <w:szCs w:val="21"/>
          <w14:textFill>
            <w14:solidFill>
              <w14:schemeClr w14:val="tx1"/>
            </w14:solidFill>
          </w14:textFill>
        </w:rPr>
        <w:t xml:space="preserve"> 非正规教育与培训的学习服务质量要求 职业培训</w:t>
      </w:r>
    </w:p>
    <w:p>
      <w:pPr>
        <w:pStyle w:val="14"/>
        <w:rPr>
          <w:color w:val="000000" w:themeColor="text1"/>
          <w:szCs w:val="21"/>
          <w14:textFill>
            <w14:solidFill>
              <w14:schemeClr w14:val="tx1"/>
            </w14:solidFill>
          </w14:textFill>
        </w:rPr>
      </w:pPr>
      <w:r>
        <w:rPr>
          <w:color w:val="000000" w:themeColor="text1"/>
          <w:szCs w:val="21"/>
          <w14:textFill>
            <w14:solidFill>
              <w14:schemeClr w14:val="tx1"/>
            </w14:solidFill>
          </w14:textFill>
        </w:rPr>
        <w:t>《人力资源社会保障数据安全管理规范（试行）》（人社厅发〔</w:t>
      </w:r>
      <w:r>
        <w:rPr>
          <w:rFonts w:ascii="Times New Roman"/>
          <w:color w:val="000000" w:themeColor="text1"/>
          <w:szCs w:val="21"/>
          <w14:textFill>
            <w14:solidFill>
              <w14:schemeClr w14:val="tx1"/>
            </w14:solidFill>
          </w14:textFill>
        </w:rPr>
        <w:t>2019</w:t>
      </w:r>
      <w:r>
        <w:rPr>
          <w:color w:val="000000" w:themeColor="text1"/>
          <w:szCs w:val="21"/>
          <w14:textFill>
            <w14:solidFill>
              <w14:schemeClr w14:val="tx1"/>
            </w14:solidFill>
          </w14:textFill>
        </w:rPr>
        <w:t>〕</w:t>
      </w:r>
      <w:r>
        <w:rPr>
          <w:rFonts w:ascii="Times New Roman"/>
          <w:color w:val="000000" w:themeColor="text1"/>
          <w:szCs w:val="21"/>
          <w14:textFill>
            <w14:solidFill>
              <w14:schemeClr w14:val="tx1"/>
            </w14:solidFill>
          </w14:textFill>
        </w:rPr>
        <w:t>37</w:t>
      </w:r>
      <w:r>
        <w:rPr>
          <w:color w:val="000000" w:themeColor="text1"/>
          <w:szCs w:val="21"/>
          <w14:textFill>
            <w14:solidFill>
              <w14:schemeClr w14:val="tx1"/>
            </w14:solidFill>
          </w14:textFill>
        </w:rPr>
        <w:t>号）</w:t>
      </w:r>
    </w:p>
    <w:p>
      <w:pPr>
        <w:pStyle w:val="16"/>
        <w:spacing w:before="326" w:after="326"/>
        <w:rPr>
          <w:color w:val="000000" w:themeColor="text1"/>
          <w:szCs w:val="21"/>
          <w14:textFill>
            <w14:solidFill>
              <w14:schemeClr w14:val="tx1"/>
            </w14:solidFill>
          </w14:textFill>
        </w:rPr>
      </w:pPr>
      <w:bookmarkStart w:id="21" w:name="_Toc36128565"/>
      <w:bookmarkEnd w:id="21"/>
      <w:bookmarkStart w:id="22" w:name="_Toc22730716"/>
      <w:bookmarkEnd w:id="22"/>
      <w:bookmarkStart w:id="23" w:name="_Toc36128571"/>
      <w:bookmarkEnd w:id="23"/>
      <w:bookmarkStart w:id="24" w:name="_Toc22740684"/>
      <w:bookmarkEnd w:id="24"/>
      <w:bookmarkStart w:id="25" w:name="_Toc22740680"/>
      <w:bookmarkEnd w:id="25"/>
      <w:bookmarkStart w:id="26" w:name="_Toc36128110"/>
      <w:bookmarkEnd w:id="26"/>
      <w:bookmarkStart w:id="27" w:name="_Toc22740620"/>
      <w:bookmarkEnd w:id="27"/>
      <w:bookmarkStart w:id="28" w:name="_Toc36128112"/>
      <w:bookmarkEnd w:id="28"/>
      <w:bookmarkStart w:id="29" w:name="_Toc36128575"/>
      <w:bookmarkEnd w:id="29"/>
      <w:bookmarkStart w:id="30" w:name="_Toc36128567"/>
      <w:bookmarkEnd w:id="30"/>
      <w:bookmarkStart w:id="31" w:name="_Toc22740686"/>
      <w:bookmarkEnd w:id="31"/>
      <w:bookmarkStart w:id="32" w:name="_Toc36128114"/>
      <w:bookmarkEnd w:id="32"/>
      <w:bookmarkStart w:id="33" w:name="_Toc22740678"/>
      <w:bookmarkEnd w:id="33"/>
      <w:bookmarkStart w:id="34" w:name="_Toc22740616"/>
      <w:bookmarkEnd w:id="34"/>
      <w:bookmarkStart w:id="35" w:name="_Toc41655040"/>
      <w:bookmarkEnd w:id="35"/>
      <w:bookmarkStart w:id="36" w:name="_Toc22740622"/>
      <w:bookmarkEnd w:id="36"/>
      <w:bookmarkStart w:id="37" w:name="_Toc36128108"/>
      <w:bookmarkEnd w:id="37"/>
      <w:bookmarkStart w:id="38" w:name="_Toc36128104"/>
      <w:bookmarkEnd w:id="38"/>
      <w:bookmarkStart w:id="39" w:name="_Toc41655038"/>
      <w:bookmarkEnd w:id="39"/>
      <w:bookmarkStart w:id="40" w:name="_Toc22740614"/>
      <w:bookmarkEnd w:id="40"/>
      <w:bookmarkStart w:id="41" w:name="_Toc36128569"/>
      <w:bookmarkEnd w:id="41"/>
      <w:bookmarkStart w:id="42" w:name="_Toc518459952"/>
      <w:bookmarkEnd w:id="42"/>
      <w:bookmarkStart w:id="43" w:name="_Toc22740624"/>
      <w:bookmarkEnd w:id="43"/>
      <w:bookmarkStart w:id="44" w:name="_Toc22740688"/>
      <w:bookmarkEnd w:id="44"/>
      <w:bookmarkStart w:id="45" w:name="_Toc22730712"/>
      <w:bookmarkEnd w:id="45"/>
      <w:bookmarkStart w:id="46" w:name="_Toc22740618"/>
      <w:bookmarkEnd w:id="46"/>
      <w:bookmarkStart w:id="47" w:name="_Toc22730714"/>
      <w:bookmarkEnd w:id="47"/>
      <w:bookmarkStart w:id="48" w:name="_Toc22740682"/>
      <w:bookmarkEnd w:id="48"/>
      <w:bookmarkStart w:id="49" w:name="_Toc36128106"/>
      <w:bookmarkEnd w:id="49"/>
      <w:bookmarkStart w:id="50" w:name="_Toc36128573"/>
      <w:bookmarkEnd w:id="50"/>
      <w:bookmarkStart w:id="51" w:name="_Toc149132243"/>
      <w:bookmarkStart w:id="52" w:name="_Toc150162436"/>
      <w:bookmarkStart w:id="53" w:name="_Toc152595334"/>
      <w:r>
        <w:rPr>
          <w:rFonts w:hint="eastAsia" w:ascii="Times New Roman"/>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平台关键要素及要求</w:t>
      </w:r>
      <w:bookmarkEnd w:id="51"/>
      <w:bookmarkEnd w:id="52"/>
      <w:bookmarkEnd w:id="53"/>
      <w:bookmarkStart w:id="54" w:name="pindex45"/>
      <w:bookmarkEnd w:id="54"/>
    </w:p>
    <w:p>
      <w:pPr>
        <w:pStyle w:val="17"/>
        <w:numPr>
          <w:ilvl w:val="1"/>
          <w:numId w:val="0"/>
        </w:numPr>
        <w:spacing w:before="163" w:after="163"/>
        <w:jc w:val="both"/>
        <w:rPr>
          <w:color w:val="000000" w:themeColor="text1"/>
          <w14:textFill>
            <w14:solidFill>
              <w14:schemeClr w14:val="tx1"/>
            </w14:solidFill>
          </w14:textFill>
        </w:rPr>
      </w:pPr>
      <w:bookmarkStart w:id="55" w:name="_Toc152595335"/>
      <w:bookmarkStart w:id="56" w:name="_Toc150162437"/>
      <w:bookmarkStart w:id="57" w:name="_Toc149132244"/>
      <w:bookmarkStart w:id="58" w:name="_Toc22740628"/>
      <w:r>
        <w:rPr>
          <w:rFonts w:hint="eastAsia" w:ascii="Times New Roman"/>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rFonts w:hint="eastAsia" w:ascii="Times New Roman"/>
          <w:color w:val="000000" w:themeColor="text1"/>
          <w14:textFill>
            <w14:solidFill>
              <w14:schemeClr w14:val="tx1"/>
            </w14:solidFill>
          </w14:textFill>
        </w:rPr>
        <w:t>1</w:t>
      </w:r>
      <w:r>
        <w:rPr>
          <w:rFonts w:hint="eastAsia"/>
          <w:color w:val="000000" w:themeColor="text1"/>
          <w14:textFill>
            <w14:solidFill>
              <w14:schemeClr w14:val="tx1"/>
            </w14:solidFill>
          </w14:textFill>
        </w:rPr>
        <w:t>基本要求</w:t>
      </w:r>
      <w:bookmarkEnd w:id="55"/>
      <w:bookmarkEnd w:id="56"/>
      <w:bookmarkEnd w:id="57"/>
      <w:bookmarkStart w:id="59" w:name="pindex46"/>
      <w:bookmarkEnd w:id="59"/>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运营机构</w:t>
      </w:r>
      <w:bookmarkStart w:id="60" w:name="pindex47"/>
      <w:bookmarkEnd w:id="60"/>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平台运营机构须为</w:t>
      </w:r>
      <w:r>
        <w:rPr>
          <w:color w:val="000000" w:themeColor="text1"/>
          <w:szCs w:val="21"/>
          <w14:textFill>
            <w14:solidFill>
              <w14:schemeClr w14:val="tx1"/>
            </w14:solidFill>
          </w14:textFill>
        </w:rPr>
        <w:t>在中国境内依法注册或者登记的企业、事业单位、社会团体、民办非企业单位</w:t>
      </w:r>
      <w:r>
        <w:rPr>
          <w:rFonts w:hint="eastAsia"/>
          <w:color w:val="000000" w:themeColor="text1"/>
          <w:szCs w:val="21"/>
          <w14:textFill>
            <w14:solidFill>
              <w14:schemeClr w14:val="tx1"/>
            </w14:solidFill>
          </w14:textFill>
        </w:rPr>
        <w:t>等组织。</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平台运营机构具有相应资质，包括但不限于机构的营业执照、</w:t>
      </w:r>
      <w:r>
        <w:rPr>
          <w:color w:val="000000" w:themeColor="text1"/>
          <w:szCs w:val="21"/>
          <w14:textFill>
            <w14:solidFill>
              <w14:schemeClr w14:val="tx1"/>
            </w14:solidFill>
          </w14:textFill>
        </w:rPr>
        <w:t>计算机软件著作权登记</w:t>
      </w:r>
      <w:r>
        <w:rPr>
          <w:rFonts w:hint="eastAsia"/>
          <w:color w:val="000000" w:themeColor="text1"/>
          <w:szCs w:val="21"/>
          <w14:textFill>
            <w14:solidFill>
              <w14:schemeClr w14:val="tx1"/>
            </w14:solidFill>
          </w14:textFill>
        </w:rPr>
        <w:t>证明、</w:t>
      </w:r>
      <w:r>
        <w:rPr>
          <w:color w:val="000000" w:themeColor="text1"/>
          <w:szCs w:val="21"/>
          <w14:textFill>
            <w14:solidFill>
              <w14:schemeClr w14:val="tx1"/>
            </w14:solidFill>
          </w14:textFill>
        </w:rPr>
        <w:t>信息系统安全等级保护备案证明</w:t>
      </w:r>
      <w:r>
        <w:rPr>
          <w:rFonts w:hint="eastAsia"/>
          <w:color w:val="000000" w:themeColor="text1"/>
          <w:szCs w:val="21"/>
          <w14:textFill>
            <w14:solidFill>
              <w14:schemeClr w14:val="tx1"/>
            </w14:solidFill>
          </w14:textFill>
        </w:rPr>
        <w:t>、</w:t>
      </w:r>
      <w:r>
        <w:rPr>
          <w:rFonts w:hint="eastAsia" w:ascii="Times New Roman"/>
          <w:color w:val="000000" w:themeColor="text1"/>
          <w:szCs w:val="21"/>
          <w14:textFill>
            <w14:solidFill>
              <w14:schemeClr w14:val="tx1"/>
            </w14:solidFill>
          </w14:textFill>
        </w:rPr>
        <w:t>ICP</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互联网信息服务</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业务经营许可</w:t>
      </w:r>
      <w:r>
        <w:rPr>
          <w:rFonts w:hint="eastAsia"/>
          <w:color w:val="000000" w:themeColor="text1"/>
          <w:szCs w:val="21"/>
          <w14:textFill>
            <w14:solidFill>
              <w14:schemeClr w14:val="tx1"/>
            </w14:solidFill>
          </w14:textFill>
        </w:rPr>
        <w:t>、</w:t>
      </w:r>
      <w:r>
        <w:rPr>
          <w:rFonts w:hint="eastAsia" w:ascii="Times New Roman"/>
          <w:color w:val="000000" w:themeColor="text1"/>
          <w:szCs w:val="21"/>
          <w14:textFill>
            <w14:solidFill>
              <w14:schemeClr w14:val="tx1"/>
            </w14:solidFill>
          </w14:textFill>
        </w:rPr>
        <w:t>ICP</w:t>
      </w:r>
      <w:r>
        <w:rPr>
          <w:rFonts w:hint="eastAsia"/>
          <w:color w:val="000000" w:themeColor="text1"/>
          <w:szCs w:val="21"/>
          <w14:textFill>
            <w14:solidFill>
              <w14:schemeClr w14:val="tx1"/>
            </w14:solidFill>
          </w14:textFill>
        </w:rPr>
        <w:t>（互联网信息服务）备案，且</w:t>
      </w:r>
      <w:r>
        <w:rPr>
          <w:color w:val="000000" w:themeColor="text1"/>
          <w:szCs w:val="21"/>
          <w14:textFill>
            <w14:solidFill>
              <w14:schemeClr w14:val="tx1"/>
            </w14:solidFill>
          </w14:textFill>
        </w:rPr>
        <w:t>主办单位与平台运营机构一致。</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平台运营机构具有良好的社会信用，无违法、违纪、失信等不良行为记录。</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平台正常稳定运营二年以上</w:t>
      </w:r>
      <w:r>
        <w:rPr>
          <w:color w:val="000000" w:themeColor="text1"/>
          <w:szCs w:val="21"/>
          <w14:textFill>
            <w14:solidFill>
              <w14:schemeClr w14:val="tx1"/>
            </w14:solidFill>
          </w14:textFill>
        </w:rPr>
        <w:t>（以</w:t>
      </w:r>
      <w:r>
        <w:rPr>
          <w:rFonts w:ascii="Times New Roman"/>
          <w:color w:val="000000" w:themeColor="text1"/>
          <w:szCs w:val="21"/>
          <w14:textFill>
            <w14:solidFill>
              <w14:schemeClr w14:val="tx1"/>
            </w14:solidFill>
          </w14:textFill>
        </w:rPr>
        <w:t>ICP</w:t>
      </w:r>
      <w:r>
        <w:rPr>
          <w:color w:val="000000" w:themeColor="text1"/>
          <w:szCs w:val="21"/>
          <w14:textFill>
            <w14:solidFill>
              <w14:schemeClr w14:val="tx1"/>
            </w14:solidFill>
          </w14:textFill>
        </w:rPr>
        <w:t>首次备案</w:t>
      </w:r>
      <w:r>
        <w:rPr>
          <w:rFonts w:hint="eastAsia"/>
          <w:color w:val="000000" w:themeColor="text1"/>
          <w:szCs w:val="21"/>
          <w14:textFill>
            <w14:solidFill>
              <w14:schemeClr w14:val="tx1"/>
            </w14:solidFill>
          </w14:textFill>
        </w:rPr>
        <w:t>审核通过</w:t>
      </w:r>
      <w:r>
        <w:rPr>
          <w:color w:val="000000" w:themeColor="text1"/>
          <w:szCs w:val="21"/>
          <w14:textFill>
            <w14:solidFill>
              <w14:schemeClr w14:val="tx1"/>
            </w14:solidFill>
          </w14:textFill>
        </w:rPr>
        <w:t>时间</w:t>
      </w:r>
      <w:r>
        <w:rPr>
          <w:rFonts w:hint="eastAsia"/>
          <w:color w:val="000000" w:themeColor="text1"/>
          <w:szCs w:val="21"/>
          <w14:textFill>
            <w14:solidFill>
              <w14:schemeClr w14:val="tx1"/>
            </w14:solidFill>
          </w14:textFill>
        </w:rPr>
        <w:t>为</w:t>
      </w:r>
      <w:r>
        <w:rPr>
          <w:color w:val="000000" w:themeColor="text1"/>
          <w:szCs w:val="21"/>
          <w14:textFill>
            <w14:solidFill>
              <w14:schemeClr w14:val="tx1"/>
            </w14:solidFill>
          </w14:textFill>
        </w:rPr>
        <w:t>准</w:t>
      </w:r>
      <w:r>
        <w:rPr>
          <w:rFonts w:hint="eastAsia"/>
          <w:color w:val="000000" w:themeColor="text1"/>
          <w:szCs w:val="21"/>
          <w:lang w:eastAsia="zh-CN"/>
          <w14:textFill>
            <w14:solidFill>
              <w14:schemeClr w14:val="tx1"/>
            </w14:solidFill>
          </w14:textFill>
        </w:rPr>
        <w:t>，</w:t>
      </w:r>
      <w:r>
        <w:rPr>
          <w:rFonts w:hint="eastAsia"/>
          <w:color w:val="000000" w:themeColor="text1"/>
          <w:szCs w:val="21"/>
          <w:lang w:val="en-US" w:eastAsia="zh-CN"/>
          <w14:textFill>
            <w14:solidFill>
              <w14:schemeClr w14:val="tx1"/>
            </w14:solidFill>
          </w14:textFill>
        </w:rPr>
        <w:t>省内自建平台另计</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，平台服务器设置在中国境内。</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平台运营机构具有规范的财务制度和管理制度，承担对服务对象交易安全、隐私保护等合法权益的基础责任。</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基础设施</w:t>
      </w:r>
      <w:bookmarkStart w:id="61" w:name="pindex52"/>
      <w:bookmarkEnd w:id="61"/>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平台的服务器负载、网络带宽、并发数满足在线学习者人数及学习需求。</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平台支持电脑端、移动设备端。电脑端支持主流浏览器，对浏览器版本兼容性好；移动设备端支持主流操作系统，兼容性好。</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平台建立网络与信息安全保障机制，包括但不限于防火墙设置、防病毒软件安装、访问日志留存、平台数据多机备份、服务器密码管理、平台权限管理、个人身份信息数据加密及导出脱敏、信息系统安全运维等。</w:t>
      </w:r>
    </w:p>
    <w:bookmarkEnd w:id="58"/>
    <w:p>
      <w:pPr>
        <w:pStyle w:val="17"/>
        <w:numPr>
          <w:ilvl w:val="1"/>
          <w:numId w:val="0"/>
        </w:numPr>
        <w:spacing w:before="163" w:after="163"/>
        <w:jc w:val="both"/>
        <w:rPr>
          <w:color w:val="000000" w:themeColor="text1"/>
          <w14:textFill>
            <w14:solidFill>
              <w14:schemeClr w14:val="tx1"/>
            </w14:solidFill>
          </w14:textFill>
        </w:rPr>
      </w:pPr>
      <w:bookmarkStart w:id="62" w:name="pindex57"/>
      <w:bookmarkEnd w:id="62"/>
      <w:bookmarkStart w:id="63" w:name="pindex60"/>
      <w:bookmarkEnd w:id="63"/>
      <w:bookmarkStart w:id="64" w:name="pindex56"/>
      <w:bookmarkEnd w:id="64"/>
      <w:bookmarkStart w:id="65" w:name="_Toc150162439"/>
      <w:bookmarkStart w:id="66" w:name="_Toc152595336"/>
      <w:bookmarkStart w:id="67" w:name="_Toc149132246"/>
      <w:r>
        <w:rPr>
          <w:rFonts w:hint="eastAsia" w:ascii="Times New Roman"/>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rFonts w:ascii="Times New Roman"/>
          <w:color w:val="000000" w:themeColor="text1"/>
          <w14:textFill>
            <w14:solidFill>
              <w14:schemeClr w14:val="tx1"/>
            </w14:solidFill>
          </w14:textFill>
        </w:rPr>
        <w:t>2</w:t>
      </w:r>
      <w:r>
        <w:rPr>
          <w:rFonts w:hint="eastAsia"/>
          <w:color w:val="000000" w:themeColor="text1"/>
          <w14:textFill>
            <w14:solidFill>
              <w14:schemeClr w14:val="tx1"/>
            </w14:solidFill>
          </w14:textFill>
        </w:rPr>
        <w:t>培训管理</w:t>
      </w:r>
      <w:bookmarkEnd w:id="65"/>
      <w:bookmarkEnd w:id="66"/>
      <w:bookmarkEnd w:id="67"/>
      <w:bookmarkStart w:id="68" w:name="pindex63"/>
      <w:bookmarkEnd w:id="68"/>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用户核验</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平台对服务对象进行实名认证。对</w:t>
      </w:r>
      <w:r>
        <w:rPr>
          <w:color w:val="000000" w:themeColor="text1"/>
          <w:szCs w:val="21"/>
          <w14:textFill>
            <w14:solidFill>
              <w14:schemeClr w14:val="tx1"/>
            </w14:solidFill>
          </w14:textFill>
        </w:rPr>
        <w:t>机构实名认证内容包括</w:t>
      </w:r>
      <w:r>
        <w:rPr>
          <w:rFonts w:hint="eastAsia"/>
          <w:color w:val="000000" w:themeColor="text1"/>
          <w:szCs w:val="21"/>
          <w14:textFill>
            <w14:solidFill>
              <w14:schemeClr w14:val="tx1"/>
            </w14:solidFill>
          </w14:textFill>
        </w:rPr>
        <w:t>但不限于</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机构名称、统一社会信用代码、机构地址、法定代表人姓名、联系人姓名、联系人职务、联系人电话等</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对学习者认证内容包括但不限于：姓名、</w:t>
      </w:r>
      <w:r>
        <w:rPr>
          <w:color w:val="000000" w:themeColor="text1"/>
          <w:szCs w:val="21"/>
          <w14:textFill>
            <w14:solidFill>
              <w14:schemeClr w14:val="tx1"/>
            </w14:solidFill>
          </w14:textFill>
        </w:rPr>
        <w:t>公民身份号码</w:t>
      </w:r>
      <w:r>
        <w:rPr>
          <w:rFonts w:hint="eastAsia"/>
          <w:color w:val="000000" w:themeColor="text1"/>
          <w:szCs w:val="21"/>
          <w14:textFill>
            <w14:solidFill>
              <w14:schemeClr w14:val="tx1"/>
            </w14:solidFill>
          </w14:textFill>
        </w:rPr>
        <w:t>、电子社保卡号码、手机号码、居民身份证照片、</w:t>
      </w:r>
      <w:r>
        <w:rPr>
          <w:color w:val="000000" w:themeColor="text1"/>
          <w:szCs w:val="21"/>
          <w14:textFill>
            <w14:solidFill>
              <w14:schemeClr w14:val="tx1"/>
            </w14:solidFill>
          </w14:textFill>
        </w:rPr>
        <w:t>头像相片</w:t>
      </w:r>
      <w:r>
        <w:rPr>
          <w:rFonts w:hint="eastAsia"/>
          <w:color w:val="000000" w:themeColor="text1"/>
          <w:szCs w:val="21"/>
          <w14:textFill>
            <w14:solidFill>
              <w14:schemeClr w14:val="tx1"/>
            </w14:solidFill>
          </w14:textFill>
        </w:rPr>
        <w:t>等。</w:t>
      </w:r>
    </w:p>
    <w:p>
      <w:pPr>
        <w:pStyle w:val="14"/>
        <w:rPr>
          <w:color w:val="000000" w:themeColor="text1"/>
          <w:szCs w:val="21"/>
          <w14:textFill>
            <w14:solidFill>
              <w14:schemeClr w14:val="tx1"/>
            </w14:solidFill>
          </w14:textFill>
        </w:rPr>
      </w:pPr>
      <w:r>
        <w:rPr>
          <w:color w:val="000000" w:themeColor="text1"/>
          <w:szCs w:val="21"/>
          <w14:textFill>
            <w14:solidFill>
              <w14:schemeClr w14:val="tx1"/>
            </w14:solidFill>
          </w14:textFill>
        </w:rPr>
        <w:t>平台具备安全、便捷的用户身份核验技术，包括但不限于采用人脸识别</w:t>
      </w:r>
      <w:r>
        <w:rPr>
          <w:rFonts w:hint="eastAsia"/>
          <w:color w:val="000000" w:themeColor="text1"/>
          <w:szCs w:val="21"/>
          <w14:textFill>
            <w14:solidFill>
              <w14:schemeClr w14:val="tx1"/>
            </w14:solidFill>
          </w14:textFill>
        </w:rPr>
        <w:t>认证</w:t>
      </w:r>
      <w:r>
        <w:rPr>
          <w:color w:val="000000" w:themeColor="text1"/>
          <w:szCs w:val="21"/>
          <w14:textFill>
            <w14:solidFill>
              <w14:schemeClr w14:val="tx1"/>
            </w14:solidFill>
          </w14:textFill>
        </w:rPr>
        <w:t>、电信运营商手机实名认证、</w:t>
      </w:r>
      <w:r>
        <w:rPr>
          <w:rFonts w:hint="eastAsia"/>
          <w:color w:val="000000" w:themeColor="text1"/>
          <w:szCs w:val="21"/>
          <w14:textFill>
            <w14:solidFill>
              <w14:schemeClr w14:val="tx1"/>
            </w14:solidFill>
          </w14:textFill>
        </w:rPr>
        <w:t>电子社保卡实名认证</w:t>
      </w:r>
      <w:r>
        <w:rPr>
          <w:color w:val="000000" w:themeColor="text1"/>
          <w:szCs w:val="21"/>
          <w14:textFill>
            <w14:solidFill>
              <w14:schemeClr w14:val="tx1"/>
            </w14:solidFill>
          </w14:textFill>
        </w:rPr>
        <w:t>等</w:t>
      </w:r>
      <w:r>
        <w:rPr>
          <w:rFonts w:hint="eastAsia"/>
          <w:color w:val="000000" w:themeColor="text1"/>
          <w:szCs w:val="21"/>
          <w14:textFill>
            <w14:solidFill>
              <w14:schemeClr w14:val="tx1"/>
            </w14:solidFill>
          </w14:textFill>
        </w:rPr>
        <w:t>方式</w:t>
      </w:r>
      <w:r>
        <w:rPr>
          <w:color w:val="000000" w:themeColor="text1"/>
          <w:szCs w:val="21"/>
          <w14:textFill>
            <w14:solidFill>
              <w14:schemeClr w14:val="tx1"/>
            </w14:solidFill>
          </w14:textFill>
        </w:rPr>
        <w:t>，在用户注册、学习、考试等环节对用户身份进行核验</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支持学习者使用以电子社保卡为载体的职业培训券。</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培训项目</w:t>
      </w:r>
      <w:bookmarkStart w:id="69" w:name="pindex64"/>
      <w:bookmarkEnd w:id="69"/>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培训项目根据培训对象、国家职业分类等方式进行分类管理。</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培训项目发布支持根据相关标准规范中要求的知识点和技能点进行课程内容编排。相关标准规范包括国家职业标准、专项职业能力考核规范、企业岗位规范等。</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培训项目发布支持多种内容形式，包括但不限于视频、音频、图文、文档、自测、互动式课件、虚拟仿真等。</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培训过程</w:t>
      </w:r>
      <w:bookmarkStart w:id="70" w:name="pindex69"/>
      <w:bookmarkEnd w:id="70"/>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培训过程</w:t>
      </w:r>
      <w:r>
        <w:rPr>
          <w:color w:val="000000" w:themeColor="text1"/>
          <w:szCs w:val="21"/>
          <w14:textFill>
            <w14:solidFill>
              <w14:schemeClr w14:val="tx1"/>
            </w14:solidFill>
          </w14:textFill>
        </w:rPr>
        <w:t>支持直播、录播、课件、在线研讨、互动交流等多种培训形式。</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培训过程</w:t>
      </w:r>
      <w:r>
        <w:rPr>
          <w:color w:val="000000" w:themeColor="text1"/>
          <w:szCs w:val="21"/>
          <w14:textFill>
            <w14:solidFill>
              <w14:schemeClr w14:val="tx1"/>
            </w14:solidFill>
          </w14:textFill>
        </w:rPr>
        <w:t>支持</w:t>
      </w:r>
      <w:r>
        <w:rPr>
          <w:rFonts w:hint="eastAsia"/>
          <w:color w:val="000000" w:themeColor="text1"/>
          <w:szCs w:val="21"/>
          <w14:textFill>
            <w14:solidFill>
              <w14:schemeClr w14:val="tx1"/>
            </w14:solidFill>
          </w14:textFill>
        </w:rPr>
        <w:t>学习者</w:t>
      </w:r>
      <w:r>
        <w:rPr>
          <w:color w:val="000000" w:themeColor="text1"/>
          <w:szCs w:val="21"/>
          <w14:textFill>
            <w14:solidFill>
              <w14:schemeClr w14:val="tx1"/>
            </w14:solidFill>
          </w14:textFill>
        </w:rPr>
        <w:t>自主学习、模拟实操、测试、协作等多种培训组织形式</w:t>
      </w:r>
      <w:r>
        <w:rPr>
          <w:rFonts w:hint="eastAsia"/>
          <w:color w:val="000000" w:themeColor="text1"/>
          <w:szCs w:val="21"/>
          <w14:textFill>
            <w14:solidFill>
              <w14:schemeClr w14:val="tx1"/>
            </w14:solidFill>
          </w14:textFill>
        </w:rPr>
        <w:t>。</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培训过程</w:t>
      </w:r>
      <w:r>
        <w:rPr>
          <w:color w:val="000000" w:themeColor="text1"/>
          <w:szCs w:val="21"/>
          <w14:textFill>
            <w14:solidFill>
              <w14:schemeClr w14:val="tx1"/>
            </w14:solidFill>
          </w14:textFill>
        </w:rPr>
        <w:t>支持电子邮件、即时通</w:t>
      </w:r>
      <w:r>
        <w:rPr>
          <w:rFonts w:hint="eastAsia"/>
          <w:color w:val="000000" w:themeColor="text1"/>
          <w:szCs w:val="21"/>
          <w14:textFill>
            <w14:solidFill>
              <w14:schemeClr w14:val="tx1"/>
            </w14:solidFill>
          </w14:textFill>
        </w:rPr>
        <w:t>信</w:t>
      </w:r>
      <w:r>
        <w:rPr>
          <w:color w:val="000000" w:themeColor="text1"/>
          <w:szCs w:val="21"/>
          <w14:textFill>
            <w14:solidFill>
              <w14:schemeClr w14:val="tx1"/>
            </w14:solidFill>
          </w14:textFill>
        </w:rPr>
        <w:t>、电话等多种形式</w:t>
      </w:r>
      <w:r>
        <w:rPr>
          <w:rFonts w:hint="eastAsia"/>
          <w:color w:val="000000" w:themeColor="text1"/>
          <w:szCs w:val="21"/>
          <w14:textFill>
            <w14:solidFill>
              <w14:schemeClr w14:val="tx1"/>
            </w14:solidFill>
          </w14:textFill>
        </w:rPr>
        <w:t>向学习者</w:t>
      </w:r>
      <w:r>
        <w:rPr>
          <w:color w:val="000000" w:themeColor="text1"/>
          <w:szCs w:val="21"/>
          <w14:textFill>
            <w14:solidFill>
              <w14:schemeClr w14:val="tx1"/>
            </w14:solidFill>
          </w14:textFill>
        </w:rPr>
        <w:t>推送培训安排及答疑。</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4</w:t>
      </w:r>
      <w:bookmarkStart w:id="71" w:name="pindex73"/>
      <w:bookmarkEnd w:id="71"/>
      <w:r>
        <w:rPr>
          <w:rFonts w:hint="eastAsia" w:ascii="宋体" w:hAnsi="宋体" w:eastAsia="宋体"/>
          <w:color w:val="000000" w:themeColor="text1"/>
          <w14:textFill>
            <w14:solidFill>
              <w14:schemeClr w14:val="tx1"/>
            </w14:solidFill>
          </w14:textFill>
        </w:rPr>
        <w:t>质量与安全管理</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平台具有人脸识别、即时互动、禁止同一账号同时多端口登录、禁止多页面非前台播放课程等质量管控</w:t>
      </w:r>
      <w:r>
        <w:rPr>
          <w:color w:val="000000" w:themeColor="text1"/>
          <w:szCs w:val="21"/>
          <w14:textFill>
            <w14:solidFill>
              <w14:schemeClr w14:val="tx1"/>
            </w14:solidFill>
          </w14:textFill>
        </w:rPr>
        <w:t>功能</w:t>
      </w:r>
      <w:r>
        <w:rPr>
          <w:rFonts w:hint="eastAsia"/>
          <w:color w:val="000000" w:themeColor="text1"/>
          <w:szCs w:val="21"/>
          <w14:textFill>
            <w14:solidFill>
              <w14:schemeClr w14:val="tx1"/>
            </w14:solidFill>
          </w14:textFill>
        </w:rPr>
        <w:t>，防止刷课、挂课、替课、刷考、替考等弄虚作假行为，确保培训过程真实、有效。</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平台支持培训机构、企业用人单位</w:t>
      </w:r>
      <w:r>
        <w:rPr>
          <w:color w:val="000000" w:themeColor="text1"/>
          <w:szCs w:val="21"/>
          <w14:textFill>
            <w14:solidFill>
              <w14:schemeClr w14:val="tx1"/>
            </w14:solidFill>
          </w14:textFill>
        </w:rPr>
        <w:t>对培训班级、学习者的</w:t>
      </w:r>
      <w:r>
        <w:rPr>
          <w:rFonts w:hint="eastAsia"/>
          <w:color w:val="000000" w:themeColor="text1"/>
          <w:szCs w:val="21"/>
          <w14:textFill>
            <w14:solidFill>
              <w14:schemeClr w14:val="tx1"/>
            </w14:solidFill>
          </w14:textFill>
        </w:rPr>
        <w:t>考勤</w:t>
      </w:r>
      <w:r>
        <w:rPr>
          <w:color w:val="000000" w:themeColor="text1"/>
          <w:szCs w:val="21"/>
          <w14:textFill>
            <w14:solidFill>
              <w14:schemeClr w14:val="tx1"/>
            </w14:solidFill>
          </w14:textFill>
        </w:rPr>
        <w:t>、学习、测试等数据进行记录</w:t>
      </w:r>
      <w:r>
        <w:rPr>
          <w:rFonts w:hint="eastAsia"/>
          <w:color w:val="000000" w:themeColor="text1"/>
          <w:szCs w:val="21"/>
          <w14:textFill>
            <w14:solidFill>
              <w14:schemeClr w14:val="tx1"/>
            </w14:solidFill>
          </w14:textFill>
        </w:rPr>
        <w:t>、查询、</w:t>
      </w:r>
      <w:r>
        <w:rPr>
          <w:color w:val="000000" w:themeColor="text1"/>
          <w:szCs w:val="21"/>
          <w14:textFill>
            <w14:solidFill>
              <w14:schemeClr w14:val="tx1"/>
            </w14:solidFill>
          </w14:textFill>
        </w:rPr>
        <w:t>统计分析</w:t>
      </w:r>
      <w:r>
        <w:rPr>
          <w:rFonts w:hint="eastAsia"/>
          <w:color w:val="000000" w:themeColor="text1"/>
          <w:szCs w:val="21"/>
          <w14:textFill>
            <w14:solidFill>
              <w14:schemeClr w14:val="tx1"/>
            </w14:solidFill>
          </w14:textFill>
        </w:rPr>
        <w:t>，支持对培训项目数字资源的使用情况等进行统计分析。</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平台支持监管机构对培训机构、企业用人单位开展的培训项目数据进行查询、调取、统计分析。</w:t>
      </w:r>
    </w:p>
    <w:p>
      <w:pPr>
        <w:pStyle w:val="17"/>
        <w:numPr>
          <w:ilvl w:val="1"/>
          <w:numId w:val="0"/>
        </w:numPr>
        <w:spacing w:before="163" w:after="163"/>
        <w:jc w:val="both"/>
        <w:rPr>
          <w:color w:val="000000" w:themeColor="text1"/>
          <w14:textFill>
            <w14:solidFill>
              <w14:schemeClr w14:val="tx1"/>
            </w14:solidFill>
          </w14:textFill>
        </w:rPr>
      </w:pPr>
      <w:bookmarkStart w:id="72" w:name="_Toc149132247"/>
      <w:bookmarkStart w:id="73" w:name="_Toc150162440"/>
      <w:bookmarkStart w:id="74" w:name="_Toc152595337"/>
      <w:r>
        <w:rPr>
          <w:rFonts w:hint="eastAsia" w:ascii="Times New Roman"/>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rFonts w:ascii="Times New Roman"/>
          <w:color w:val="000000" w:themeColor="text1"/>
          <w14:textFill>
            <w14:solidFill>
              <w14:schemeClr w14:val="tx1"/>
            </w14:solidFill>
          </w14:textFill>
        </w:rPr>
        <w:t>3</w:t>
      </w:r>
      <w:r>
        <w:rPr>
          <w:rFonts w:hint="eastAsia"/>
          <w:color w:val="000000" w:themeColor="text1"/>
          <w14:textFill>
            <w14:solidFill>
              <w14:schemeClr w14:val="tx1"/>
            </w14:solidFill>
          </w14:textFill>
        </w:rPr>
        <w:t>学习服务</w:t>
      </w:r>
      <w:bookmarkEnd w:id="72"/>
      <w:bookmarkEnd w:id="73"/>
      <w:bookmarkEnd w:id="74"/>
      <w:bookmarkStart w:id="75" w:name="pindex76"/>
      <w:bookmarkEnd w:id="75"/>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学习功能</w:t>
      </w:r>
      <w:bookmarkStart w:id="76" w:name="pindex77"/>
      <w:bookmarkEnd w:id="76"/>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平台支持对学习者学习过程进行记录，包括但不限于学习开始时间、学习时长、作业和测试。</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平台支持按课程和学习者分别统计累计学习时长、每日学习时长、平均学习时长、指定时间段内学习时长、按每日/周/月统计学习时长变化等。</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平台支持统计学习者参加课程总数量、完成课程数量、课程开始后退出的课程数量、课程未开始时退出的课程数量、未退出且未完成课程数量等。</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平台支持对学习者进行过程性评价和结果性评价，并记录评价数据，包括但不限于测试</w:t>
      </w:r>
      <w:r>
        <w:rPr>
          <w:color w:val="000000" w:themeColor="text1"/>
          <w:szCs w:val="21"/>
          <w14:textFill>
            <w14:solidFill>
              <w14:schemeClr w14:val="tx1"/>
            </w14:solidFill>
          </w14:textFill>
        </w:rPr>
        <w:t>的结果，时长，错题分布，</w:t>
      </w:r>
      <w:r>
        <w:rPr>
          <w:rFonts w:hint="eastAsia"/>
          <w:color w:val="000000" w:themeColor="text1"/>
          <w:szCs w:val="21"/>
          <w14:textFill>
            <w14:solidFill>
              <w14:schemeClr w14:val="tx1"/>
            </w14:solidFill>
          </w14:textFill>
        </w:rPr>
        <w:t>测试</w:t>
      </w:r>
      <w:r>
        <w:rPr>
          <w:color w:val="000000" w:themeColor="text1"/>
          <w:szCs w:val="21"/>
          <w14:textFill>
            <w14:solidFill>
              <w14:schemeClr w14:val="tx1"/>
            </w14:solidFill>
          </w14:textFill>
        </w:rPr>
        <w:t>行为规范的信息</w:t>
      </w:r>
      <w:r>
        <w:rPr>
          <w:rFonts w:hint="eastAsia"/>
          <w:color w:val="000000" w:themeColor="text1"/>
          <w:szCs w:val="21"/>
          <w14:textFill>
            <w14:solidFill>
              <w14:schemeClr w14:val="tx1"/>
            </w14:solidFill>
          </w14:textFill>
        </w:rPr>
        <w:t>。</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平台支持生成符合监管机构要求的学习者学习档案。</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平台为学习者提供在平台学习活动中形成的学习记录，包括但不限于学习过程、学习结果。</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2</w:t>
      </w:r>
      <w:r>
        <w:rPr>
          <w:rFonts w:hint="eastAsia" w:ascii="宋体" w:hAnsi="宋体" w:eastAsia="宋体"/>
          <w:color w:val="000000" w:themeColor="text1"/>
          <w14:textFill>
            <w14:solidFill>
              <w14:schemeClr w14:val="tx1"/>
            </w14:solidFill>
          </w14:textFill>
        </w:rPr>
        <w:t>学习支持</w:t>
      </w:r>
      <w:bookmarkStart w:id="77" w:name="pindex84"/>
      <w:bookmarkEnd w:id="77"/>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平台支持学习者查看</w:t>
      </w:r>
      <w:r>
        <w:rPr>
          <w:color w:val="000000" w:themeColor="text1"/>
          <w:szCs w:val="21"/>
          <w14:textFill>
            <w14:solidFill>
              <w14:schemeClr w14:val="tx1"/>
            </w14:solidFill>
          </w14:textFill>
        </w:rPr>
        <w:t>学习进度，包括已完成课程、参与度</w:t>
      </w:r>
      <w:r>
        <w:rPr>
          <w:rFonts w:hint="eastAsia"/>
          <w:color w:val="000000" w:themeColor="text1"/>
          <w:szCs w:val="21"/>
          <w14:textFill>
            <w14:solidFill>
              <w14:schemeClr w14:val="tx1"/>
            </w14:solidFill>
          </w14:textFill>
        </w:rPr>
        <w:t>等信息</w:t>
      </w:r>
      <w:r>
        <w:rPr>
          <w:color w:val="000000" w:themeColor="text1"/>
          <w:szCs w:val="21"/>
          <w14:textFill>
            <w14:solidFill>
              <w14:schemeClr w14:val="tx1"/>
            </w14:solidFill>
          </w14:textFill>
        </w:rPr>
        <w:t>。</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平台为学习者提供</w:t>
      </w:r>
      <w:r>
        <w:rPr>
          <w:color w:val="000000" w:themeColor="text1"/>
          <w:szCs w:val="21"/>
          <w14:textFill>
            <w14:solidFill>
              <w14:schemeClr w14:val="tx1"/>
            </w14:solidFill>
          </w14:textFill>
        </w:rPr>
        <w:t>个性化的学习建议和反馈，以帮助</w:t>
      </w:r>
      <w:r>
        <w:rPr>
          <w:rFonts w:hint="eastAsia"/>
          <w:color w:val="000000" w:themeColor="text1"/>
          <w:szCs w:val="21"/>
          <w14:textFill>
            <w14:solidFill>
              <w14:schemeClr w14:val="tx1"/>
            </w14:solidFill>
          </w14:textFill>
        </w:rPr>
        <w:t>学习者</w:t>
      </w:r>
      <w:r>
        <w:rPr>
          <w:color w:val="000000" w:themeColor="text1"/>
          <w:szCs w:val="21"/>
          <w14:textFill>
            <w14:solidFill>
              <w14:schemeClr w14:val="tx1"/>
            </w14:solidFill>
          </w14:textFill>
        </w:rPr>
        <w:t>提高学习效果。</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平台为学习者提供所学习课程的基本信息和学习指南，方便学习者制定学习计划。</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平台为学习者提供平台使用说明，指导学习者使用学习平台，及时解决学习活动与服务过程中的技术问题。</w:t>
      </w:r>
    </w:p>
    <w:p>
      <w:pPr>
        <w:pStyle w:val="17"/>
        <w:numPr>
          <w:ilvl w:val="1"/>
          <w:numId w:val="0"/>
        </w:numPr>
        <w:spacing w:before="163" w:after="163"/>
        <w:jc w:val="both"/>
        <w:rPr>
          <w:color w:val="000000" w:themeColor="text1"/>
          <w14:textFill>
            <w14:solidFill>
              <w14:schemeClr w14:val="tx1"/>
            </w14:solidFill>
          </w14:textFill>
        </w:rPr>
      </w:pPr>
      <w:bookmarkStart w:id="78" w:name="_Toc149132248"/>
      <w:bookmarkStart w:id="79" w:name="_Toc150162441"/>
      <w:bookmarkStart w:id="80" w:name="_Toc152595338"/>
      <w:r>
        <w:rPr>
          <w:rFonts w:hint="eastAsia" w:ascii="Times New Roman"/>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rFonts w:ascii="Times New Roman"/>
          <w:color w:val="000000" w:themeColor="text1"/>
          <w14:textFill>
            <w14:solidFill>
              <w14:schemeClr w14:val="tx1"/>
            </w14:solidFill>
          </w14:textFill>
        </w:rPr>
        <w:t>4</w:t>
      </w:r>
      <w:bookmarkEnd w:id="78"/>
      <w:bookmarkEnd w:id="79"/>
      <w:bookmarkStart w:id="81" w:name="pindex89"/>
      <w:bookmarkEnd w:id="81"/>
      <w:r>
        <w:rPr>
          <w:rFonts w:hint="eastAsia"/>
          <w:color w:val="000000" w:themeColor="text1"/>
          <w14:textFill>
            <w14:solidFill>
              <w14:schemeClr w14:val="tx1"/>
            </w14:solidFill>
          </w14:textFill>
        </w:rPr>
        <w:t>运营管理</w:t>
      </w:r>
      <w:bookmarkEnd w:id="80"/>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4</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1</w:t>
      </w:r>
      <w:r>
        <w:rPr>
          <w:rFonts w:hint="eastAsia" w:ascii="宋体" w:hAnsi="宋体" w:eastAsia="宋体"/>
          <w:color w:val="000000" w:themeColor="text1"/>
          <w14:textFill>
            <w14:solidFill>
              <w14:schemeClr w14:val="tx1"/>
            </w14:solidFill>
          </w14:textFill>
        </w:rPr>
        <w:t>平台运维</w:t>
      </w:r>
      <w:bookmarkStart w:id="82" w:name="pindex90"/>
      <w:bookmarkEnd w:id="82"/>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平台根据服务对象的数量配备人数适宜、结构合理的运维团队，成员具备专业知识和技能。</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运维服务团队及时发现和解决平台</w:t>
      </w:r>
      <w:r>
        <w:rPr>
          <w:color w:val="000000" w:themeColor="text1"/>
          <w:szCs w:val="21"/>
          <w14:textFill>
            <w14:solidFill>
              <w14:schemeClr w14:val="tx1"/>
            </w14:solidFill>
          </w14:textFill>
        </w:rPr>
        <w:t>系统</w:t>
      </w:r>
      <w:r>
        <w:rPr>
          <w:rFonts w:hint="eastAsia"/>
          <w:color w:val="000000" w:themeColor="text1"/>
          <w:szCs w:val="21"/>
          <w14:textFill>
            <w14:solidFill>
              <w14:schemeClr w14:val="tx1"/>
            </w14:solidFill>
          </w14:textFill>
        </w:rPr>
        <w:t>运行</w:t>
      </w:r>
      <w:r>
        <w:rPr>
          <w:color w:val="000000" w:themeColor="text1"/>
          <w:szCs w:val="21"/>
          <w14:textFill>
            <w14:solidFill>
              <w14:schemeClr w14:val="tx1"/>
            </w14:solidFill>
          </w14:textFill>
        </w:rPr>
        <w:t>问题</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降低故障发生的概率，确保业务的连续性。</w:t>
      </w:r>
    </w:p>
    <w:p>
      <w:pPr>
        <w:pStyle w:val="18"/>
        <w:spacing w:before="163" w:after="163"/>
        <w:jc w:val="both"/>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4</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2</w:t>
      </w:r>
      <w:bookmarkStart w:id="83" w:name="pindex93"/>
      <w:bookmarkEnd w:id="83"/>
      <w:r>
        <w:rPr>
          <w:rFonts w:hint="eastAsia" w:ascii="宋体" w:hAnsi="宋体" w:eastAsia="宋体"/>
          <w:color w:val="000000" w:themeColor="text1"/>
          <w14:textFill>
            <w14:solidFill>
              <w14:schemeClr w14:val="tx1"/>
            </w14:solidFill>
          </w14:textFill>
        </w:rPr>
        <w:t>客户服务</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平台根据服务对象的数量配备人数适宜、结构合理的客服团队，成员具备专业知识和技能。</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平台提供电话、网络投诉渠道并保证渠道畅通，及时处理客户反馈问题，并建立沟通管理机制，明确反馈时限，按时答复、安排处理服务对象诉求。</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平台具有常见问题清单、投诉反馈的渠道、问题处理流程及操作记录。</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平台建立平台服务评价管理机制，常态化接受服务评价，评价形式包括学习者评价、企业评价、培训机构评价和自我评价等。</w:t>
      </w:r>
    </w:p>
    <w:p>
      <w:pPr>
        <w:pStyle w:val="18"/>
        <w:spacing w:before="163" w:after="163"/>
        <w:rPr>
          <w:rFonts w:ascii="宋体" w:hAnsi="宋体" w:eastAsia="宋体"/>
          <w:color w:val="000000" w:themeColor="text1"/>
          <w14:textFill>
            <w14:solidFill>
              <w14:schemeClr w14:val="tx1"/>
            </w14:solidFill>
          </w14:textFill>
        </w:rPr>
      </w:pPr>
      <w:r>
        <w:rPr>
          <w:rFonts w:hint="eastAsia" w:ascii="Times New Roman" w:eastAsia="宋体"/>
          <w:color w:val="000000" w:themeColor="text1"/>
          <w14:textFill>
            <w14:solidFill>
              <w14:schemeClr w14:val="tx1"/>
            </w14:solidFill>
          </w14:textFill>
        </w:rPr>
        <w:t>3</w:t>
      </w:r>
      <w:r>
        <w:rPr>
          <w:rFonts w:hint="eastAsia" w:ascii="宋体" w:hAnsi="宋体" w:eastAsia="宋体"/>
          <w:color w:val="000000" w:themeColor="text1"/>
          <w14:textFill>
            <w14:solidFill>
              <w14:schemeClr w14:val="tx1"/>
            </w14:solidFill>
          </w14:textFill>
        </w:rPr>
        <w:t>.</w:t>
      </w:r>
      <w:r>
        <w:rPr>
          <w:rFonts w:ascii="Times New Roman" w:eastAsia="宋体"/>
          <w:color w:val="000000" w:themeColor="text1"/>
          <w14:textFill>
            <w14:solidFill>
              <w14:schemeClr w14:val="tx1"/>
            </w14:solidFill>
          </w14:textFill>
        </w:rPr>
        <w:t>4</w:t>
      </w:r>
      <w:r>
        <w:rPr>
          <w:rFonts w:hint="eastAsia" w:ascii="宋体" w:hAnsi="宋体" w:eastAsia="宋体"/>
          <w:color w:val="000000" w:themeColor="text1"/>
          <w14:textFill>
            <w14:solidFill>
              <w14:schemeClr w14:val="tx1"/>
            </w14:solidFill>
          </w14:textFill>
        </w:rPr>
        <w:t>.</w:t>
      </w:r>
      <w:r>
        <w:rPr>
          <w:rFonts w:hint="eastAsia" w:ascii="Times New Roman" w:eastAsia="宋体"/>
          <w:color w:val="000000" w:themeColor="text1"/>
          <w14:textFill>
            <w14:solidFill>
              <w14:schemeClr w14:val="tx1"/>
            </w14:solidFill>
          </w14:textFill>
        </w:rPr>
        <w:t>3</w:t>
      </w:r>
      <w:bookmarkStart w:id="84" w:name="pindex98"/>
      <w:bookmarkEnd w:id="84"/>
      <w:r>
        <w:rPr>
          <w:rFonts w:hint="eastAsia" w:ascii="宋体" w:hAnsi="宋体" w:eastAsia="宋体"/>
          <w:color w:val="000000" w:themeColor="text1"/>
          <w14:textFill>
            <w14:solidFill>
              <w14:schemeClr w14:val="tx1"/>
            </w14:solidFill>
          </w14:textFill>
        </w:rPr>
        <w:t>平台管理</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平台运营机构内设部门组织结构科学、职责明确、人员配置合理，有完善可行的员工管理制度。</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建立平台服务监督机制。设置服务公示版块，内容包括但不限于服务内容、服务依据、服务流程、服务要求、投诉渠道。实施内部监督和审核，同时接受外部监督，设置监督意见反馈表，会议审核记录等，根据监督和审核结果，实施纠正和预防措施。</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平台运营机构根据服务评价制定整改措施，进行优化和改进；注重服务对象的满意度和服务效能的提升。</w:t>
      </w:r>
    </w:p>
    <w:p>
      <w:pPr>
        <w:pStyle w:val="16"/>
        <w:spacing w:before="326" w:after="326"/>
        <w:rPr>
          <w:color w:val="000000" w:themeColor="text1"/>
          <w:szCs w:val="21"/>
          <w14:textFill>
            <w14:solidFill>
              <w14:schemeClr w14:val="tx1"/>
            </w14:solidFill>
          </w14:textFill>
        </w:rPr>
      </w:pPr>
      <w:bookmarkStart w:id="85" w:name="_Toc150162442"/>
      <w:bookmarkStart w:id="86" w:name="_Toc152595339"/>
      <w:bookmarkStart w:id="87" w:name="_Toc149132249"/>
      <w:r>
        <w:rPr>
          <w:rFonts w:hint="eastAsia" w:ascii="Times New Roman"/>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平台类别及分类规则</w:t>
      </w:r>
      <w:bookmarkEnd w:id="85"/>
      <w:bookmarkEnd w:id="86"/>
      <w:bookmarkEnd w:id="87"/>
      <w:bookmarkStart w:id="88" w:name="pindex104"/>
      <w:bookmarkEnd w:id="88"/>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平台的类别可从培训目的、培训对象、培训内容、培训方式、评价方式、培训管理等角度划分。</w:t>
      </w:r>
    </w:p>
    <w:p>
      <w:pPr>
        <w:pStyle w:val="14"/>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根据职业技能线上培训平台的特点，可综合考虑以上因素进行分类。如：面向培训机构提供服务的平台、面向企业用人单位提供服务的平台、直接面向学习者提供培训服务的平台。可根据服务对象的不同选择相应规范指标用于不同类别平台的规范要求。</w:t>
      </w:r>
      <w:bookmarkStart w:id="89" w:name="_Toc150447574"/>
      <w:bookmarkStart w:id="90" w:name="_Toc152595340"/>
      <w:bookmarkStart w:id="91" w:name="_Toc150448680"/>
      <w:bookmarkStart w:id="92" w:name="_Toc150448080"/>
      <w:bookmarkStart w:id="93" w:name="_Toc150162443"/>
      <w:bookmarkStart w:id="94" w:name="_Toc149132250"/>
    </w:p>
    <w:p/>
    <w:p/>
    <w:p/>
    <w:p/>
    <w:p/>
    <w:p/>
    <w:p/>
    <w:p/>
    <w:p/>
    <w:p/>
    <w:p/>
    <w:p/>
    <w:p/>
    <w:p/>
    <w:p/>
    <w:p/>
    <w:p/>
    <w:p/>
    <w:p>
      <w:pPr>
        <w:pStyle w:val="16"/>
        <w:spacing w:before="163" w:beforeLines="50" w:afterLines="0"/>
        <w:rPr>
          <w:color w:val="000000" w:themeColor="text1"/>
          <w14:textFill>
            <w14:solidFill>
              <w14:schemeClr w14:val="tx1"/>
            </w14:solidFill>
          </w14:textFill>
        </w:rPr>
      </w:pPr>
      <w:r>
        <w:rPr>
          <w:rFonts w:hint="eastAsia"/>
          <w:color w:val="000000" w:themeColor="text1"/>
          <w14:textFill>
            <w14:solidFill>
              <w14:schemeClr w14:val="tx1"/>
            </w14:solidFill>
          </w14:textFill>
        </w:rPr>
        <w:t>附件</w:t>
      </w:r>
      <w:bookmarkEnd w:id="89"/>
      <w:bookmarkEnd w:id="90"/>
      <w:bookmarkEnd w:id="91"/>
      <w:bookmarkEnd w:id="92"/>
    </w:p>
    <w:p>
      <w:pPr>
        <w:pStyle w:val="16"/>
        <w:spacing w:beforeLines="0" w:afterLines="0"/>
        <w:jc w:val="center"/>
        <w:rPr>
          <w:rFonts w:hint="eastAsia" w:ascii="华文中宋" w:hAnsi="华文中宋" w:eastAsia="华文中宋" w:cs="华文中宋"/>
          <w:color w:val="000000" w:themeColor="text1"/>
          <w:sz w:val="30"/>
          <w:szCs w:val="30"/>
          <w:lang w:eastAsia="zh-CN"/>
          <w14:textFill>
            <w14:solidFill>
              <w14:schemeClr w14:val="tx1"/>
            </w14:solidFill>
          </w14:textFill>
        </w:rPr>
      </w:pPr>
      <w:bookmarkStart w:id="95" w:name="_Toc152595341"/>
      <w:r>
        <w:rPr>
          <w:rFonts w:hint="eastAsia" w:ascii="华文中宋" w:hAnsi="华文中宋" w:eastAsia="华文中宋" w:cs="华文中宋"/>
          <w:color w:val="000000" w:themeColor="text1"/>
          <w:sz w:val="30"/>
          <w:szCs w:val="30"/>
          <w14:textFill>
            <w14:solidFill>
              <w14:schemeClr w14:val="tx1"/>
            </w14:solidFill>
          </w14:textFill>
        </w:rPr>
        <w:t>职业技能线上培训平台运营服务质量评估表</w:t>
      </w:r>
      <w:bookmarkEnd w:id="93"/>
      <w:bookmarkEnd w:id="94"/>
      <w:bookmarkEnd w:id="95"/>
      <w:bookmarkStart w:id="96" w:name="pindex108"/>
      <w:bookmarkEnd w:id="96"/>
      <w:r>
        <w:rPr>
          <w:rFonts w:hint="eastAsia" w:ascii="华文中宋" w:hAnsi="华文中宋" w:eastAsia="华文中宋" w:cs="华文中宋"/>
          <w:color w:val="000000" w:themeColor="text1"/>
          <w:sz w:val="30"/>
          <w:szCs w:val="30"/>
          <w:lang w:eastAsia="zh-CN"/>
          <w14:textFill>
            <w14:solidFill>
              <w14:schemeClr w14:val="tx1"/>
            </w14:solidFill>
          </w14:textFill>
        </w:rPr>
        <w:t>（</w:t>
      </w:r>
      <w:r>
        <w:rPr>
          <w:rFonts w:hint="eastAsia" w:ascii="华文中宋" w:hAnsi="华文中宋" w:eastAsia="华文中宋" w:cs="华文中宋"/>
          <w:color w:val="000000" w:themeColor="text1"/>
          <w:sz w:val="30"/>
          <w:szCs w:val="30"/>
          <w:lang w:val="en-US" w:eastAsia="zh-CN"/>
          <w14:textFill>
            <w14:solidFill>
              <w14:schemeClr w14:val="tx1"/>
            </w14:solidFill>
          </w14:textFill>
        </w:rPr>
        <w:t>参考</w:t>
      </w:r>
      <w:r>
        <w:rPr>
          <w:rFonts w:hint="eastAsia" w:ascii="华文中宋" w:hAnsi="华文中宋" w:eastAsia="华文中宋" w:cs="华文中宋"/>
          <w:color w:val="000000" w:themeColor="text1"/>
          <w:sz w:val="30"/>
          <w:szCs w:val="30"/>
          <w:lang w:eastAsia="zh-CN"/>
          <w14:textFill>
            <w14:solidFill>
              <w14:schemeClr w14:val="tx1"/>
            </w14:solidFill>
          </w14:textFill>
        </w:rPr>
        <w:t>）</w:t>
      </w:r>
    </w:p>
    <w:tbl>
      <w:tblPr>
        <w:tblStyle w:val="6"/>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713"/>
        <w:gridCol w:w="709"/>
        <w:gridCol w:w="2405"/>
        <w:gridCol w:w="709"/>
        <w:gridCol w:w="1134"/>
        <w:gridCol w:w="2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 w:hRule="atLeast"/>
          <w:tblHeader/>
          <w:jc w:val="center"/>
        </w:trPr>
        <w:tc>
          <w:tcPr>
            <w:tcW w:w="2126" w:type="dxa"/>
            <w:gridSpan w:val="3"/>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hint="eastAsia" w:ascii="Times New Roman"/>
                <w:b/>
                <w:color w:val="000000" w:themeColor="text1"/>
                <w:szCs w:val="21"/>
                <w14:textFill>
                  <w14:solidFill>
                    <w14:schemeClr w14:val="tx1"/>
                  </w14:solidFill>
                </w14:textFill>
              </w:rPr>
              <w:t>评估</w:t>
            </w:r>
            <w:r>
              <w:rPr>
                <w:rFonts w:ascii="Times New Roman"/>
                <w:b/>
                <w:color w:val="000000" w:themeColor="text1"/>
                <w:szCs w:val="21"/>
                <w14:textFill>
                  <w14:solidFill>
                    <w14:schemeClr w14:val="tx1"/>
                  </w14:solidFill>
                </w14:textFill>
              </w:rPr>
              <w:t>指标</w:t>
            </w:r>
          </w:p>
        </w:tc>
        <w:tc>
          <w:tcPr>
            <w:tcW w:w="2405"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b/>
                <w:bCs/>
                <w:color w:val="000000" w:themeColor="text1"/>
                <w:szCs w:val="21"/>
                <w14:textFill>
                  <w14:solidFill>
                    <w14:schemeClr w14:val="tx1"/>
                  </w14:solidFill>
                </w14:textFill>
              </w:rPr>
              <w:t>内容要求</w:t>
            </w:r>
          </w:p>
        </w:tc>
        <w:tc>
          <w:tcPr>
            <w:tcW w:w="709" w:type="dxa"/>
            <w:vMerge w:val="restart"/>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ascii="Times New Roman"/>
                <w:b/>
                <w:color w:val="000000" w:themeColor="text1"/>
                <w:szCs w:val="21"/>
                <w14:textFill>
                  <w14:solidFill>
                    <w14:schemeClr w14:val="tx1"/>
                  </w14:solidFill>
                </w14:textFill>
              </w:rPr>
              <w:t>分值</w:t>
            </w:r>
          </w:p>
        </w:tc>
        <w:tc>
          <w:tcPr>
            <w:tcW w:w="1134" w:type="dxa"/>
            <w:vMerge w:val="restart"/>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hint="eastAsia" w:ascii="Times New Roman"/>
                <w:b/>
                <w:color w:val="000000" w:themeColor="text1"/>
                <w:szCs w:val="21"/>
                <w14:textFill>
                  <w14:solidFill>
                    <w14:schemeClr w14:val="tx1"/>
                  </w14:solidFill>
                </w14:textFill>
              </w:rPr>
              <w:t>评估方法</w:t>
            </w:r>
          </w:p>
        </w:tc>
        <w:tc>
          <w:tcPr>
            <w:tcW w:w="2556" w:type="dxa"/>
            <w:vMerge w:val="restart"/>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hint="eastAsia" w:ascii="Times New Roman"/>
                <w:b/>
                <w:color w:val="000000" w:themeColor="text1"/>
                <w:szCs w:val="21"/>
                <w14:textFill>
                  <w14:solidFill>
                    <w14:schemeClr w14:val="tx1"/>
                  </w14:solidFill>
                </w14:textFill>
              </w:rPr>
              <w:t>评分规则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4" w:type="dxa"/>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ascii="Times New Roman"/>
                <w:b/>
                <w:color w:val="000000" w:themeColor="text1"/>
                <w:szCs w:val="21"/>
                <w14:textFill>
                  <w14:solidFill>
                    <w14:schemeClr w14:val="tx1"/>
                  </w14:solidFill>
                </w14:textFill>
              </w:rPr>
              <w:t>一级</w:t>
            </w:r>
          </w:p>
        </w:tc>
        <w:tc>
          <w:tcPr>
            <w:tcW w:w="713" w:type="dxa"/>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ascii="Times New Roman"/>
                <w:b/>
                <w:color w:val="000000" w:themeColor="text1"/>
                <w:szCs w:val="21"/>
                <w14:textFill>
                  <w14:solidFill>
                    <w14:schemeClr w14:val="tx1"/>
                  </w14:solidFill>
                </w14:textFill>
              </w:rPr>
              <w:t>二级</w:t>
            </w:r>
          </w:p>
        </w:tc>
        <w:tc>
          <w:tcPr>
            <w:tcW w:w="709" w:type="dxa"/>
            <w:vAlign w:val="center"/>
          </w:tcPr>
          <w:p>
            <w:pPr>
              <w:pStyle w:val="14"/>
              <w:tabs>
                <w:tab w:val="center" w:pos="709"/>
                <w:tab w:val="clear" w:pos="4201"/>
              </w:tabs>
              <w:snapToGrid w:val="0"/>
              <w:ind w:firstLine="0" w:firstLineChars="0"/>
              <w:jc w:val="center"/>
              <w:rPr>
                <w:rFonts w:ascii="Times New Roman"/>
                <w:b/>
                <w:color w:val="000000" w:themeColor="text1"/>
                <w:szCs w:val="21"/>
                <w14:textFill>
                  <w14:solidFill>
                    <w14:schemeClr w14:val="tx1"/>
                  </w14:solidFill>
                </w14:textFill>
              </w:rPr>
            </w:pPr>
            <w:r>
              <w:rPr>
                <w:rFonts w:ascii="Times New Roman"/>
                <w:b/>
                <w:color w:val="000000" w:themeColor="text1"/>
                <w:szCs w:val="21"/>
                <w14:textFill>
                  <w14:solidFill>
                    <w14:schemeClr w14:val="tx1"/>
                  </w14:solidFill>
                </w14:textFill>
              </w:rPr>
              <w:t>三级</w:t>
            </w:r>
          </w:p>
        </w:tc>
        <w:tc>
          <w:tcPr>
            <w:tcW w:w="2405" w:type="dxa"/>
            <w:vMerge w:val="continue"/>
            <w:vAlign w:val="center"/>
          </w:tcPr>
          <w:p>
            <w:pPr>
              <w:pStyle w:val="14"/>
              <w:tabs>
                <w:tab w:val="center" w:pos="709"/>
                <w:tab w:val="clear" w:pos="4201"/>
              </w:tabs>
              <w:ind w:firstLine="0" w:firstLineChars="0"/>
              <w:rPr>
                <w:rFonts w:ascii="Times New Roman"/>
                <w:color w:val="000000" w:themeColor="text1"/>
                <w:szCs w:val="21"/>
                <w14:textFill>
                  <w14:solidFill>
                    <w14:schemeClr w14:val="tx1"/>
                  </w14:solidFill>
                </w14:textFill>
              </w:rPr>
            </w:pPr>
          </w:p>
        </w:tc>
        <w:tc>
          <w:tcPr>
            <w:tcW w:w="709" w:type="dxa"/>
            <w:vMerge w:val="continue"/>
            <w:vAlign w:val="center"/>
          </w:tcPr>
          <w:p>
            <w:pPr>
              <w:pStyle w:val="14"/>
              <w:tabs>
                <w:tab w:val="center" w:pos="709"/>
                <w:tab w:val="clear" w:pos="4201"/>
              </w:tabs>
              <w:ind w:firstLine="0" w:firstLineChars="0"/>
              <w:jc w:val="center"/>
              <w:rPr>
                <w:rFonts w:ascii="Times New Roman"/>
                <w:color w:val="000000" w:themeColor="text1"/>
                <w:szCs w:val="21"/>
                <w14:textFill>
                  <w14:solidFill>
                    <w14:schemeClr w14:val="tx1"/>
                  </w14:solidFill>
                </w14:textFill>
              </w:rPr>
            </w:pPr>
          </w:p>
        </w:tc>
        <w:tc>
          <w:tcPr>
            <w:tcW w:w="1134" w:type="dxa"/>
            <w:vMerge w:val="continue"/>
            <w:vAlign w:val="center"/>
          </w:tcPr>
          <w:p>
            <w:pPr>
              <w:pStyle w:val="14"/>
              <w:tabs>
                <w:tab w:val="center" w:pos="709"/>
                <w:tab w:val="clear" w:pos="4201"/>
              </w:tabs>
              <w:ind w:firstLine="0" w:firstLineChars="0"/>
              <w:jc w:val="center"/>
              <w:rPr>
                <w:rFonts w:ascii="Times New Roman"/>
                <w:color w:val="000000" w:themeColor="text1"/>
                <w:szCs w:val="21"/>
                <w14:textFill>
                  <w14:solidFill>
                    <w14:schemeClr w14:val="tx1"/>
                  </w14:solidFill>
                </w14:textFill>
              </w:rPr>
            </w:pPr>
          </w:p>
        </w:tc>
        <w:tc>
          <w:tcPr>
            <w:tcW w:w="2556" w:type="dxa"/>
            <w:vMerge w:val="continue"/>
            <w:vAlign w:val="center"/>
          </w:tcPr>
          <w:p>
            <w:pPr>
              <w:pStyle w:val="14"/>
              <w:tabs>
                <w:tab w:val="center" w:pos="709"/>
                <w:tab w:val="clear" w:pos="4201"/>
              </w:tabs>
              <w:ind w:firstLine="0" w:firstLineChars="0"/>
              <w:rPr>
                <w:rFonts w:ascii="Times New Roman"/>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基本要求（</w:t>
            </w:r>
            <w:r>
              <w:rPr>
                <w:rFonts w:ascii="Times New Roman"/>
                <w:color w:val="000000" w:themeColor="text1"/>
                <w:szCs w:val="21"/>
                <w14:textFill>
                  <w14:solidFill>
                    <w14:schemeClr w14:val="tx1"/>
                  </w14:solidFill>
                </w14:textFill>
              </w:rPr>
              <w:t>20分</w:t>
            </w:r>
            <w:r>
              <w:rPr>
                <w:rFonts w:hint="eastAsia" w:ascii="Times New Roman"/>
                <w:color w:val="000000" w:themeColor="text1"/>
                <w:szCs w:val="21"/>
                <w14:textFill>
                  <w14:solidFill>
                    <w14:schemeClr w14:val="tx1"/>
                  </w14:solidFill>
                </w14:textFill>
              </w:rPr>
              <w:t>）</w:t>
            </w: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运营机构（</w:t>
            </w:r>
            <w:r>
              <w:rPr>
                <w:rFonts w:ascii="Times New Roman"/>
                <w:color w:val="000000" w:themeColor="text1"/>
                <w:szCs w:val="21"/>
                <w14:textFill>
                  <w14:solidFill>
                    <w14:schemeClr w14:val="tx1"/>
                  </w14:solidFill>
                </w14:textFill>
              </w:rPr>
              <w:t>11</w:t>
            </w:r>
            <w:r>
              <w:rPr>
                <w:rFonts w:hint="eastAsia" w:ascii="Times New Roman"/>
                <w:color w:val="000000" w:themeColor="text1"/>
                <w:szCs w:val="21"/>
                <w14:textFill>
                  <w14:solidFill>
                    <w14:schemeClr w14:val="tx1"/>
                  </w14:solidFill>
                </w14:textFill>
              </w:rPr>
              <w:t>分）</w:t>
            </w:r>
          </w:p>
        </w:tc>
        <w:tc>
          <w:tcPr>
            <w:tcW w:w="709" w:type="dxa"/>
            <w:vAlign w:val="center"/>
          </w:tcPr>
          <w:p>
            <w:pPr>
              <w:pStyle w:val="14"/>
              <w:tabs>
                <w:tab w:val="center" w:pos="318"/>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机构资质</w:t>
            </w:r>
          </w:p>
        </w:tc>
        <w:tc>
          <w:tcPr>
            <w:tcW w:w="2405" w:type="dxa"/>
            <w:shd w:val="clear" w:color="auto" w:fill="auto"/>
            <w:vAlign w:val="center"/>
          </w:tcPr>
          <w:p>
            <w:pPr>
              <w:pStyle w:val="14"/>
              <w:snapToGrid w:val="0"/>
              <w:ind w:firstLine="0" w:firstLineChars="0"/>
              <w:rPr>
                <w:color w:val="000000" w:themeColor="text1"/>
                <w:szCs w:val="21"/>
                <w14:textFill>
                  <w14:solidFill>
                    <w14:schemeClr w14:val="tx1"/>
                  </w14:solidFill>
                </w14:textFill>
              </w:rPr>
            </w:pPr>
            <w:bookmarkStart w:id="97" w:name="sys1278346"/>
            <w:r>
              <w:rPr>
                <w:color w:val="000000" w:themeColor="text1"/>
                <w:szCs w:val="21"/>
                <w14:textFill>
                  <w14:solidFill>
                    <w14:schemeClr w14:val="tx1"/>
                  </w14:solidFill>
                </w14:textFill>
              </w:rPr>
              <w:t>平台运营机构具有相应资质，包括但不限于机构的营业执照、计算机软件著作权登记</w:t>
            </w:r>
            <w:r>
              <w:rPr>
                <w:rFonts w:hint="eastAsia"/>
                <w:color w:val="000000" w:themeColor="text1"/>
                <w:szCs w:val="21"/>
                <w14:textFill>
                  <w14:solidFill>
                    <w14:schemeClr w14:val="tx1"/>
                  </w14:solidFill>
                </w14:textFill>
              </w:rPr>
              <w:t>证明、</w:t>
            </w:r>
            <w:r>
              <w:rPr>
                <w:color w:val="000000" w:themeColor="text1"/>
                <w:szCs w:val="21"/>
                <w14:textFill>
                  <w14:solidFill>
                    <w14:schemeClr w14:val="tx1"/>
                  </w14:solidFill>
                </w14:textFill>
              </w:rPr>
              <w:t>信息系统安全等级保护备案证明、</w:t>
            </w:r>
            <w:r>
              <w:rPr>
                <w:rFonts w:ascii="Times New Roman"/>
                <w:color w:val="000000" w:themeColor="text1"/>
                <w:szCs w:val="21"/>
                <w14:textFill>
                  <w14:solidFill>
                    <w14:schemeClr w14:val="tx1"/>
                  </w14:solidFill>
                </w14:textFill>
              </w:rPr>
              <w:t>ICP</w:t>
            </w:r>
            <w:r>
              <w:rPr>
                <w:color w:val="000000" w:themeColor="text1"/>
                <w:szCs w:val="21"/>
                <w14:textFill>
                  <w14:solidFill>
                    <w14:schemeClr w14:val="tx1"/>
                  </w14:solidFill>
                </w14:textFill>
              </w:rPr>
              <w:t>（互联网信息服务）业务经营许可、</w:t>
            </w:r>
            <w:r>
              <w:rPr>
                <w:rFonts w:ascii="Times New Roman"/>
                <w:color w:val="000000" w:themeColor="text1"/>
                <w:szCs w:val="21"/>
                <w14:textFill>
                  <w14:solidFill>
                    <w14:schemeClr w14:val="tx1"/>
                  </w14:solidFill>
                </w14:textFill>
              </w:rPr>
              <w:t>ICP</w:t>
            </w:r>
            <w:r>
              <w:rPr>
                <w:color w:val="000000" w:themeColor="text1"/>
                <w:szCs w:val="21"/>
                <w14:textFill>
                  <w14:solidFill>
                    <w14:schemeClr w14:val="tx1"/>
                  </w14:solidFill>
                </w14:textFill>
              </w:rPr>
              <w:t>（互联网信息服务）备案，且主办单位与平台运营机构一致。平台运营机构须为在中国境内依法注册或者登记的企业、事业单位、社会团体、民办非企业单位等组织。</w:t>
            </w:r>
            <w:bookmarkEnd w:id="97"/>
            <w:r>
              <w:rPr>
                <w:rFonts w:hint="eastAsia"/>
                <w:color w:val="000000" w:themeColor="text1"/>
                <w:szCs w:val="21"/>
                <w14:textFill>
                  <w14:solidFill>
                    <w14:schemeClr w14:val="tx1"/>
                  </w14:solidFill>
                </w14:textFill>
              </w:rPr>
              <w:t>平台服务器设置在中国境内</w:t>
            </w:r>
          </w:p>
        </w:tc>
        <w:tc>
          <w:tcPr>
            <w:tcW w:w="709" w:type="dxa"/>
            <w:shd w:val="clear" w:color="auto" w:fill="auto"/>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shd w:val="clear" w:color="auto" w:fill="auto"/>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r>
              <w:rPr>
                <w:color w:val="000000" w:themeColor="text1"/>
                <w:sz w:val="21"/>
                <w:szCs w:val="21"/>
                <w14:textFill>
                  <w14:solidFill>
                    <w14:schemeClr w14:val="tx1"/>
                  </w14:solidFill>
                </w14:textFill>
              </w:rPr>
              <w:t>平台抽验</w:t>
            </w:r>
          </w:p>
        </w:tc>
        <w:tc>
          <w:tcPr>
            <w:tcW w:w="2556" w:type="dxa"/>
            <w:shd w:val="clear" w:color="auto" w:fill="auto"/>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平台运营机构具有相应资质，包括但不限于机构的营业执照、计算机软件著作权登记证明</w:t>
            </w:r>
            <w:r>
              <w:rPr>
                <w:rFonts w:hint="eastAsia"/>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信息系统安全等级保护备案证明、</w:t>
            </w:r>
            <w:r>
              <w:rPr>
                <w:rFonts w:ascii="Times New Roman" w:hAnsi="Times New Roman"/>
                <w:color w:val="000000" w:themeColor="text1"/>
                <w:sz w:val="21"/>
                <w:szCs w:val="21"/>
                <w14:textFill>
                  <w14:solidFill>
                    <w14:schemeClr w14:val="tx1"/>
                  </w14:solidFill>
                </w14:textFill>
              </w:rPr>
              <w:t>ICP</w:t>
            </w:r>
            <w:r>
              <w:rPr>
                <w:color w:val="000000" w:themeColor="text1"/>
                <w:sz w:val="21"/>
                <w:szCs w:val="21"/>
                <w14:textFill>
                  <w14:solidFill>
                    <w14:schemeClr w14:val="tx1"/>
                  </w14:solidFill>
                </w14:textFill>
              </w:rPr>
              <w:t>（互联网信息服务）业务经营许可、</w:t>
            </w:r>
            <w:r>
              <w:rPr>
                <w:rFonts w:ascii="Times New Roman" w:hAnsi="Times New Roman"/>
                <w:color w:val="000000" w:themeColor="text1"/>
                <w:sz w:val="21"/>
                <w:szCs w:val="21"/>
                <w14:textFill>
                  <w14:solidFill>
                    <w14:schemeClr w14:val="tx1"/>
                  </w14:solidFill>
                </w14:textFill>
              </w:rPr>
              <w:t>ICP</w:t>
            </w:r>
            <w:r>
              <w:rPr>
                <w:color w:val="000000" w:themeColor="text1"/>
                <w:sz w:val="21"/>
                <w:szCs w:val="21"/>
                <w14:textFill>
                  <w14:solidFill>
                    <w14:schemeClr w14:val="tx1"/>
                  </w14:solidFill>
                </w14:textFill>
              </w:rPr>
              <w:t>（互联网信息服务）备案，且主办单位与平台运营机构一致。平台运营机构为在中国境内依法注册或者登记的企业、事业单位、社会团体、民办非企业单位等组织。</w:t>
            </w:r>
            <w:r>
              <w:rPr>
                <w:rFonts w:hint="eastAsia"/>
                <w:color w:val="000000" w:themeColor="text1"/>
                <w:sz w:val="21"/>
                <w:szCs w:val="21"/>
                <w14:textFill>
                  <w14:solidFill>
                    <w14:schemeClr w14:val="tx1"/>
                  </w14:solidFill>
                </w14:textFill>
              </w:rPr>
              <w:t>平台服务器设置在中国境内。</w:t>
            </w:r>
            <w:r>
              <w:rPr>
                <w:rFonts w:hint="eastAsia" w:ascii="Times New Roman" w:hAnsi="Times New Roman" w:cs="Times New Roman"/>
                <w:color w:val="000000" w:themeColor="text1"/>
                <w:sz w:val="21"/>
                <w:szCs w:val="21"/>
                <w:lang w:eastAsia="zh-CN"/>
                <w14:textFill>
                  <w14:solidFill>
                    <w14:schemeClr w14:val="tx1"/>
                  </w14:solidFill>
                </w14:textFill>
              </w:rPr>
              <w:t>（2.0分）</w:t>
            </w:r>
          </w:p>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【单项否决】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运营状态</w:t>
            </w:r>
          </w:p>
        </w:tc>
        <w:tc>
          <w:tcPr>
            <w:tcW w:w="2405" w:type="dxa"/>
            <w:vAlign w:val="center"/>
          </w:tcPr>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平台正常稳定运营二年以上</w:t>
            </w:r>
            <w:r>
              <w:rPr>
                <w:color w:val="000000" w:themeColor="text1"/>
                <w:sz w:val="21"/>
                <w:szCs w:val="21"/>
                <w14:textFill>
                  <w14:solidFill>
                    <w14:schemeClr w14:val="tx1"/>
                  </w14:solidFill>
                </w14:textFill>
              </w:rPr>
              <w:t>（以</w:t>
            </w:r>
            <w:r>
              <w:rPr>
                <w:rFonts w:ascii="Times New Roman" w:hAnsi="Times New Roman"/>
                <w:color w:val="000000" w:themeColor="text1"/>
                <w:sz w:val="21"/>
                <w:szCs w:val="21"/>
                <w14:textFill>
                  <w14:solidFill>
                    <w14:schemeClr w14:val="tx1"/>
                  </w14:solidFill>
                </w14:textFill>
              </w:rPr>
              <w:t>ICP</w:t>
            </w:r>
            <w:r>
              <w:rPr>
                <w:color w:val="000000" w:themeColor="text1"/>
                <w:sz w:val="21"/>
                <w:szCs w:val="21"/>
                <w14:textFill>
                  <w14:solidFill>
                    <w14:schemeClr w14:val="tx1"/>
                  </w14:solidFill>
                </w14:textFill>
              </w:rPr>
              <w:t>首次备案审核通过时间为准）</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r>
              <w:rPr>
                <w:color w:val="000000" w:themeColor="text1"/>
                <w:sz w:val="21"/>
                <w:szCs w:val="21"/>
                <w14:textFill>
                  <w14:solidFill>
                    <w14:schemeClr w14:val="tx1"/>
                  </w14:solidFill>
                </w14:textFill>
              </w:rPr>
              <w:t>平台抽验</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平台正常稳定运营二年以上</w:t>
            </w:r>
            <w:r>
              <w:rPr>
                <w:color w:val="000000" w:themeColor="text1"/>
                <w:sz w:val="21"/>
                <w:szCs w:val="21"/>
                <w14:textFill>
                  <w14:solidFill>
                    <w14:schemeClr w14:val="tx1"/>
                  </w14:solidFill>
                </w14:textFill>
              </w:rPr>
              <w:t>（以</w:t>
            </w:r>
            <w:r>
              <w:rPr>
                <w:rFonts w:ascii="Times New Roman" w:hAnsi="Times New Roman"/>
                <w:color w:val="000000" w:themeColor="text1"/>
                <w:sz w:val="21"/>
                <w:szCs w:val="21"/>
                <w14:textFill>
                  <w14:solidFill>
                    <w14:schemeClr w14:val="tx1"/>
                  </w14:solidFill>
                </w14:textFill>
              </w:rPr>
              <w:t>ICP</w:t>
            </w:r>
            <w:r>
              <w:rPr>
                <w:color w:val="000000" w:themeColor="text1"/>
                <w:sz w:val="21"/>
                <w:szCs w:val="21"/>
                <w14:textFill>
                  <w14:solidFill>
                    <w14:schemeClr w14:val="tx1"/>
                  </w14:solidFill>
                </w14:textFill>
              </w:rPr>
              <w:t>首次备案审核通过时间为准）</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en-US" w:eastAsia="zh-CN"/>
                <w14:textFill>
                  <w14:solidFill>
                    <w14:schemeClr w14:val="tx1"/>
                  </w14:solidFill>
                </w14:textFill>
              </w:rPr>
              <w:t>或为省级自建平台</w:t>
            </w:r>
            <w:r>
              <w:rPr>
                <w:rFonts w:hint="eastAsia"/>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eastAsia="zh-CN"/>
                <w14:textFill>
                  <w14:solidFill>
                    <w14:schemeClr w14:val="tx1"/>
                  </w14:solidFill>
                </w14:textFill>
              </w:rPr>
              <w:t>（2.0分）</w:t>
            </w:r>
          </w:p>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【单项否决】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color w:val="000000" w:themeColor="text1"/>
                <w:szCs w:val="21"/>
                <w14:textFill>
                  <w14:solidFill>
                    <w14:schemeClr w14:val="tx1"/>
                  </w14:solidFill>
                </w14:textFill>
              </w:rPr>
            </w:pPr>
            <w:r>
              <w:rPr>
                <w:rFonts w:hint="eastAsia" w:ascii="仿宋_GB2312" w:hAnsi="仿宋_GB2312" w:cs="仿宋_GB2312"/>
                <w:color w:val="000000" w:themeColor="text1"/>
                <w:szCs w:val="21"/>
                <w14:textFill>
                  <w14:solidFill>
                    <w14:schemeClr w14:val="tx1"/>
                  </w14:solidFill>
                </w14:textFill>
              </w:rPr>
              <w:t>服务案例</w:t>
            </w:r>
          </w:p>
        </w:tc>
        <w:tc>
          <w:tcPr>
            <w:tcW w:w="2405" w:type="dxa"/>
            <w:vAlign w:val="center"/>
          </w:tcPr>
          <w:p>
            <w:pPr>
              <w:snapToGrid w:val="0"/>
              <w:jc w:val="both"/>
              <w:rPr>
                <w:color w:val="000000" w:themeColor="text1"/>
                <w:sz w:val="21"/>
                <w:szCs w:val="21"/>
                <w14:textFill>
                  <w14:solidFill>
                    <w14:schemeClr w14:val="tx1"/>
                  </w14:solidFill>
                </w14:textFill>
              </w:rPr>
            </w:pPr>
            <w:r>
              <w:rPr>
                <w:rFonts w:hint="eastAsia" w:ascii="仿宋_GB2312" w:hAnsi="仿宋_GB2312" w:cs="仿宋_GB2312"/>
                <w:color w:val="000000" w:themeColor="text1"/>
                <w:sz w:val="21"/>
                <w:szCs w:val="21"/>
                <w14:textFill>
                  <w14:solidFill>
                    <w14:schemeClr w14:val="tx1"/>
                  </w14:solidFill>
                </w14:textFill>
              </w:rPr>
              <w:t>平台运营服务案例</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r>
              <w:rPr>
                <w:color w:val="000000" w:themeColor="text1"/>
                <w:sz w:val="21"/>
                <w:szCs w:val="21"/>
                <w14:textFill>
                  <w14:solidFill>
                    <w14:schemeClr w14:val="tx1"/>
                  </w14:solidFill>
                </w14:textFill>
              </w:rPr>
              <w:t>平台抽验</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w:t>
            </w:r>
            <w:r>
              <w:rPr>
                <w:color w:val="000000" w:themeColor="text1"/>
                <w:sz w:val="21"/>
                <w:szCs w:val="21"/>
                <w14:textFill>
                  <w14:solidFill>
                    <w14:schemeClr w14:val="tx1"/>
                  </w14:solidFill>
                </w14:textFill>
              </w:rPr>
              <w:t>能够提供国内</w:t>
            </w:r>
            <w:r>
              <w:rPr>
                <w:rFonts w:ascii="Times New Roman" w:hAnsi="Times New Roman" w:cs="Times New Roman"/>
                <w:color w:val="000000" w:themeColor="text1"/>
                <w:sz w:val="21"/>
                <w:szCs w:val="21"/>
                <w14:textFill>
                  <w14:solidFill>
                    <w14:schemeClr w14:val="tx1"/>
                  </w14:solidFill>
                </w14:textFill>
              </w:rPr>
              <w:t>20</w:t>
            </w:r>
            <w:r>
              <w:rPr>
                <w:color w:val="000000" w:themeColor="text1"/>
                <w:sz w:val="21"/>
                <w:szCs w:val="21"/>
                <w14:textFill>
                  <w14:solidFill>
                    <w14:schemeClr w14:val="tx1"/>
                  </w14:solidFill>
                </w14:textFill>
              </w:rPr>
              <w:t>个以上省市的成功案例</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en-US" w:eastAsia="zh-CN"/>
                <w14:textFill>
                  <w14:solidFill>
                    <w14:schemeClr w14:val="tx1"/>
                  </w14:solidFill>
                </w14:textFill>
              </w:rPr>
              <w:t>或为省级自建平台</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w:t>
            </w:r>
            <w:r>
              <w:rPr>
                <w:color w:val="000000" w:themeColor="text1"/>
                <w:sz w:val="21"/>
                <w:szCs w:val="21"/>
                <w14:textFill>
                  <w14:solidFill>
                    <w14:schemeClr w14:val="tx1"/>
                  </w14:solidFill>
                </w14:textFill>
              </w:rPr>
              <w:t>能够提供国内</w:t>
            </w:r>
            <w:r>
              <w:rPr>
                <w:rFonts w:ascii="Times New Roman" w:hAnsi="Times New Roman" w:cs="Times New Roman"/>
                <w:color w:val="000000" w:themeColor="text1"/>
                <w:sz w:val="21"/>
                <w:szCs w:val="21"/>
                <w14:textFill>
                  <w14:solidFill>
                    <w14:schemeClr w14:val="tx1"/>
                  </w14:solidFill>
                </w14:textFill>
              </w:rPr>
              <w:t>20</w:t>
            </w:r>
            <w:r>
              <w:rPr>
                <w:rFonts w:hint="eastAsia"/>
                <w:color w:val="000000" w:themeColor="text1"/>
                <w:sz w:val="21"/>
                <w:szCs w:val="21"/>
                <w14:textFill>
                  <w14:solidFill>
                    <w14:schemeClr w14:val="tx1"/>
                  </w14:solidFill>
                </w14:textFill>
              </w:rPr>
              <w:t>个以内</w:t>
            </w:r>
            <w:r>
              <w:rPr>
                <w:color w:val="000000" w:themeColor="text1"/>
                <w:sz w:val="21"/>
                <w:szCs w:val="21"/>
                <w14:textFill>
                  <w14:solidFill>
                    <w14:schemeClr w14:val="tx1"/>
                  </w14:solidFill>
                </w14:textFill>
              </w:rPr>
              <w:t>省市的成功案例</w:t>
            </w:r>
            <w:r>
              <w:rPr>
                <w:rFonts w:hint="eastAsia"/>
                <w:color w:val="000000" w:themeColor="text1"/>
                <w:sz w:val="21"/>
                <w:szCs w:val="21"/>
                <w:lang w:eastAsia="zh-CN"/>
                <w14:textFill>
                  <w14:solidFill>
                    <w14:schemeClr w14:val="tx1"/>
                  </w14:solidFill>
                </w14:textFill>
              </w:rPr>
              <w:t>；</w:t>
            </w:r>
            <w:r>
              <w:rPr>
                <w:rFonts w:hint="eastAsia"/>
                <w:color w:val="000000" w:themeColor="text1"/>
                <w:sz w:val="21"/>
                <w:szCs w:val="21"/>
                <w:lang w:val="en-US" w:eastAsia="zh-CN"/>
                <w14:textFill>
                  <w14:solidFill>
                    <w14:schemeClr w14:val="tx1"/>
                  </w14:solidFill>
                </w14:textFill>
              </w:rPr>
              <w:t>或为市级自建平台</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rFonts w:ascii="仿宋_GB2312" w:hAnsi="仿宋_GB2312" w:cs="仿宋_GB2312"/>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社会信誉</w:t>
            </w:r>
          </w:p>
        </w:tc>
        <w:tc>
          <w:tcPr>
            <w:tcW w:w="2405" w:type="dxa"/>
            <w:vAlign w:val="center"/>
          </w:tcPr>
          <w:p>
            <w:pPr>
              <w:snapToGrid w:val="0"/>
              <w:jc w:val="both"/>
              <w:rPr>
                <w:rFonts w:ascii="仿宋_GB2312" w:hAnsi="仿宋_GB2312" w:cs="仿宋_GB2312"/>
                <w:color w:val="000000" w:themeColor="text1"/>
                <w:sz w:val="21"/>
                <w:szCs w:val="21"/>
                <w14:textFill>
                  <w14:solidFill>
                    <w14:schemeClr w14:val="tx1"/>
                  </w14:solidFill>
                </w14:textFill>
              </w:rPr>
            </w:pPr>
            <w:bookmarkStart w:id="98" w:name="sys153033"/>
            <w:r>
              <w:rPr>
                <w:color w:val="000000" w:themeColor="text1"/>
                <w:sz w:val="21"/>
                <w:szCs w:val="21"/>
                <w14:textFill>
                  <w14:solidFill>
                    <w14:schemeClr w14:val="tx1"/>
                  </w14:solidFill>
                </w14:textFill>
              </w:rPr>
              <w:t>平台运营机构具</w:t>
            </w:r>
            <w:r>
              <w:rPr>
                <w:rFonts w:hint="eastAsia"/>
                <w:color w:val="000000" w:themeColor="text1"/>
                <w:sz w:val="21"/>
                <w:szCs w:val="21"/>
                <w14:textFill>
                  <w14:solidFill>
                    <w14:schemeClr w14:val="tx1"/>
                  </w14:solidFill>
                </w14:textFill>
              </w:rPr>
              <w:t>有</w:t>
            </w:r>
            <w:r>
              <w:rPr>
                <w:color w:val="000000" w:themeColor="text1"/>
                <w:sz w:val="21"/>
                <w:szCs w:val="21"/>
                <w14:textFill>
                  <w14:solidFill>
                    <w14:schemeClr w14:val="tx1"/>
                  </w14:solidFill>
                </w14:textFill>
              </w:rPr>
              <w:t>良好的社会信用，无违法、违纪、失信等不良行为记录</w:t>
            </w:r>
            <w:bookmarkEnd w:id="98"/>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olor w:val="000000" w:themeColor="text1"/>
                <w:sz w:val="21"/>
                <w:szCs w:val="21"/>
                <w14:textFill>
                  <w14:solidFill>
                    <w14:schemeClr w14:val="tx1"/>
                  </w14:solidFill>
                </w14:textFill>
              </w:rPr>
              <w:t>2</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文件审阅第三方查证</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w:t>
            </w:r>
            <w:r>
              <w:rPr>
                <w:rFonts w:hint="eastAsia" w:ascii="Times New Roman"/>
                <w:color w:val="000000" w:themeColor="text1"/>
                <w:sz w:val="21"/>
                <w:szCs w:val="21"/>
                <w14:textFill>
                  <w14:solidFill>
                    <w14:schemeClr w14:val="tx1"/>
                  </w14:solidFill>
                </w14:textFill>
              </w:rPr>
              <w:t>社会信用良好，无违法、违纪、失信等不良行为记录</w:t>
            </w:r>
            <w:r>
              <w:rPr>
                <w:rFonts w:hint="eastAsia"/>
                <w:color w:val="000000" w:themeColor="text1"/>
                <w:sz w:val="21"/>
                <w:szCs w:val="21"/>
                <w14:textFill>
                  <w14:solidFill>
                    <w14:schemeClr w14:val="tx1"/>
                  </w14:solidFill>
                </w14:textFill>
              </w:rPr>
              <w:t>。</w:t>
            </w:r>
            <w:r>
              <w:rPr>
                <w:rFonts w:hint="eastAsia" w:ascii="Times New Roman" w:hAnsi="Times New Roman"/>
                <w:color w:val="000000" w:themeColor="text1"/>
                <w:sz w:val="21"/>
                <w:szCs w:val="21"/>
                <w:lang w:eastAsia="zh-CN"/>
                <w14:textFill>
                  <w14:solidFill>
                    <w14:schemeClr w14:val="tx1"/>
                  </w14:solidFill>
                </w14:textFill>
              </w:rPr>
              <w:t>（1.1～2.0分）</w:t>
            </w:r>
          </w:p>
          <w:p>
            <w:pPr>
              <w:pStyle w:val="14"/>
              <w:tabs>
                <w:tab w:val="center" w:pos="709"/>
                <w:tab w:val="clear" w:pos="4201"/>
              </w:tabs>
              <w:snapToGrid w:val="0"/>
              <w:ind w:firstLine="0" w:firstLineChars="0"/>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平台运营机构</w:t>
            </w:r>
            <w:r>
              <w:rPr>
                <w:rFonts w:hint="eastAsia" w:ascii="Times New Roman"/>
                <w:color w:val="000000" w:themeColor="text1"/>
                <w:szCs w:val="21"/>
                <w14:textFill>
                  <w14:solidFill>
                    <w14:schemeClr w14:val="tx1"/>
                  </w14:solidFill>
                </w14:textFill>
              </w:rPr>
              <w:t>存在已整改的不良记录</w:t>
            </w:r>
            <w:r>
              <w:rPr>
                <w:rFonts w:hint="eastAsia"/>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（0～1.0分）</w:t>
            </w:r>
          </w:p>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平台运营机构存在失信等不</w:t>
            </w:r>
            <w:r>
              <w:rPr>
                <w:rFonts w:hint="eastAsia" w:ascii="Times New Roman"/>
                <w:color w:val="000000" w:themeColor="text1"/>
                <w:sz w:val="21"/>
                <w:szCs w:val="21"/>
                <w14:textFill>
                  <w14:solidFill>
                    <w14:schemeClr w14:val="tx1"/>
                  </w14:solidFill>
                </w14:textFill>
              </w:rPr>
              <w:t>良</w:t>
            </w:r>
            <w:r>
              <w:rPr>
                <w:rFonts w:hint="eastAsia"/>
                <w:color w:val="000000" w:themeColor="text1"/>
                <w:sz w:val="21"/>
                <w:szCs w:val="21"/>
                <w14:textFill>
                  <w14:solidFill>
                    <w14:schemeClr w14:val="tx1"/>
                  </w14:solidFill>
                </w14:textFill>
              </w:rPr>
              <w:t>记录。【单项否决】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4"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权益保障</w:t>
            </w:r>
          </w:p>
        </w:tc>
        <w:tc>
          <w:tcPr>
            <w:tcW w:w="2405" w:type="dxa"/>
            <w:vAlign w:val="center"/>
          </w:tcPr>
          <w:p>
            <w:pPr>
              <w:snapToGrid w:val="0"/>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平台</w:t>
            </w:r>
            <w:r>
              <w:rPr>
                <w:rFonts w:hint="eastAsia"/>
                <w:color w:val="000000" w:themeColor="text1"/>
                <w:sz w:val="21"/>
                <w:szCs w:val="21"/>
                <w14:textFill>
                  <w14:solidFill>
                    <w14:schemeClr w14:val="tx1"/>
                  </w14:solidFill>
                </w14:textFill>
              </w:rPr>
              <w:t>运营</w:t>
            </w:r>
            <w:r>
              <w:rPr>
                <w:color w:val="000000" w:themeColor="text1"/>
                <w:sz w:val="21"/>
                <w:szCs w:val="21"/>
                <w14:textFill>
                  <w14:solidFill>
                    <w14:schemeClr w14:val="tx1"/>
                  </w14:solidFill>
                </w14:textFill>
              </w:rPr>
              <w:t>机构具有规范的财务制度和管理制度，承担对服务对象交易安全、隐私保护等合法权益的基础责任</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w:t>
            </w:r>
            <w:r>
              <w:rPr>
                <w:rFonts w:hint="eastAsia"/>
                <w:color w:val="000000" w:themeColor="text1"/>
                <w:sz w:val="21"/>
                <w:szCs w:val="21"/>
                <w14:textFill>
                  <w14:solidFill>
                    <w14:schemeClr w14:val="tx1"/>
                  </w14:solidFill>
                </w14:textFill>
              </w:rPr>
              <w:t>具有资金管理制度、保障条件。</w:t>
            </w:r>
            <w:r>
              <w:rPr>
                <w:rFonts w:hint="eastAsia" w:ascii="Times New Roman" w:hAnsi="Times New Roman"/>
                <w:color w:val="000000" w:themeColor="text1"/>
                <w:sz w:val="21"/>
                <w:szCs w:val="21"/>
                <w:lang w:eastAsia="zh-CN"/>
                <w14:textFill>
                  <w14:solidFill>
                    <w14:schemeClr w14:val="tx1"/>
                  </w14:solidFill>
                </w14:textFill>
              </w:rPr>
              <w:t>（1.1～2.0分）</w:t>
            </w:r>
          </w:p>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w:t>
            </w:r>
            <w:r>
              <w:rPr>
                <w:rFonts w:hint="eastAsia"/>
                <w:color w:val="000000" w:themeColor="text1"/>
                <w:sz w:val="21"/>
                <w:szCs w:val="21"/>
                <w14:textFill>
                  <w14:solidFill>
                    <w14:schemeClr w14:val="tx1"/>
                  </w14:solidFill>
                </w14:textFill>
              </w:rPr>
              <w:t>具有资金管理制度或保障条件。</w:t>
            </w:r>
            <w:r>
              <w:rPr>
                <w:rFonts w:hint="eastAsia" w:ascii="Times New Roman" w:hAnsi="Times New Roman" w:cs="Times New Roman"/>
                <w:color w:val="000000" w:themeColor="text1"/>
                <w:sz w:val="21"/>
                <w:szCs w:val="21"/>
                <w:lang w:eastAsia="zh-CN"/>
                <w14:textFill>
                  <w14:solidFill>
                    <w14:schemeClr w14:val="tx1"/>
                  </w14:solidFill>
                </w14:textFill>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基础设施（</w:t>
            </w:r>
            <w:r>
              <w:rPr>
                <w:rFonts w:ascii="Times New Roman"/>
                <w:color w:val="000000" w:themeColor="text1"/>
                <w:szCs w:val="21"/>
                <w14:textFill>
                  <w14:solidFill>
                    <w14:schemeClr w14:val="tx1"/>
                  </w14:solidFill>
                </w14:textFill>
              </w:rPr>
              <w:t>9</w:t>
            </w:r>
            <w:r>
              <w:rPr>
                <w:rFonts w:hint="eastAsia" w:ascii="Times New Roman"/>
                <w:color w:val="000000" w:themeColor="text1"/>
                <w:szCs w:val="21"/>
                <w14:textFill>
                  <w14:solidFill>
                    <w14:schemeClr w14:val="tx1"/>
                  </w14:solidFill>
                </w14:textFill>
              </w:rPr>
              <w:t>分）</w:t>
            </w:r>
          </w:p>
        </w:tc>
        <w:tc>
          <w:tcPr>
            <w:tcW w:w="709" w:type="dxa"/>
            <w:vAlign w:val="center"/>
          </w:tcPr>
          <w:p>
            <w:pPr>
              <w:pStyle w:val="14"/>
              <w:tabs>
                <w:tab w:val="center" w:pos="318"/>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平台性能</w:t>
            </w:r>
          </w:p>
        </w:tc>
        <w:tc>
          <w:tcPr>
            <w:tcW w:w="2405" w:type="dxa"/>
            <w:vAlign w:val="center"/>
          </w:tcPr>
          <w:p>
            <w:pPr>
              <w:snapToGrid w:val="0"/>
              <w:jc w:val="both"/>
              <w:rPr>
                <w:color w:val="000000" w:themeColor="text1"/>
                <w:sz w:val="21"/>
                <w:szCs w:val="21"/>
                <w14:textFill>
                  <w14:solidFill>
                    <w14:schemeClr w14:val="tx1"/>
                  </w14:solidFill>
                </w14:textFill>
              </w:rPr>
            </w:pPr>
            <w:bookmarkStart w:id="99" w:name="sys173031"/>
            <w:r>
              <w:rPr>
                <w:color w:val="000000" w:themeColor="text1"/>
                <w:sz w:val="21"/>
                <w:szCs w:val="21"/>
                <w14:textFill>
                  <w14:solidFill>
                    <w14:schemeClr w14:val="tx1"/>
                  </w14:solidFill>
                </w14:textFill>
              </w:rPr>
              <w:t>平台的服务器负载、网络带宽、并发数满足</w:t>
            </w:r>
            <w:r>
              <w:rPr>
                <w:rFonts w:hint="eastAsia"/>
                <w:color w:val="000000" w:themeColor="text1"/>
                <w:sz w:val="21"/>
                <w:szCs w:val="21"/>
                <w14:textFill>
                  <w14:solidFill>
                    <w14:schemeClr w14:val="tx1"/>
                  </w14:solidFill>
                </w14:textFill>
              </w:rPr>
              <w:t>在</w:t>
            </w:r>
            <w:r>
              <w:rPr>
                <w:color w:val="000000" w:themeColor="text1"/>
                <w:sz w:val="21"/>
                <w:szCs w:val="21"/>
                <w14:textFill>
                  <w14:solidFill>
                    <w14:schemeClr w14:val="tx1"/>
                  </w14:solidFill>
                </w14:textFill>
              </w:rPr>
              <w:t>线学习者人数及学习需求</w:t>
            </w:r>
            <w:bookmarkEnd w:id="99"/>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r>
              <w:rPr>
                <w:color w:val="000000" w:themeColor="text1"/>
                <w:sz w:val="21"/>
                <w:szCs w:val="21"/>
                <w14:textFill>
                  <w14:solidFill>
                    <w14:schemeClr w14:val="tx1"/>
                  </w14:solidFill>
                </w14:textFill>
              </w:rPr>
              <w:t>平台抽验</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平台的服务器负载、网络带宽、并发数与学习者人数及学习需求匹配</w:t>
            </w:r>
            <w:r>
              <w:rPr>
                <w:rFonts w:hint="eastAsia"/>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平台的服务器负载、网络带宽、并发数与学习者人数及学习需求存在一定的匹配关系</w:t>
            </w:r>
            <w:r>
              <w:rPr>
                <w:rFonts w:hint="eastAsia"/>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终端支持</w:t>
            </w:r>
          </w:p>
        </w:tc>
        <w:tc>
          <w:tcPr>
            <w:tcW w:w="2405" w:type="dxa"/>
            <w:vAlign w:val="center"/>
          </w:tcPr>
          <w:p>
            <w:pPr>
              <w:snapToGrid w:val="0"/>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平台支持电脑端、移动设备端。电脑端支持主流浏览器，对浏览器版本兼容性好；移动设备端支持主流操作系统，兼容性好</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平台检验</w:t>
            </w:r>
          </w:p>
        </w:tc>
        <w:tc>
          <w:tcPr>
            <w:tcW w:w="2556" w:type="dxa"/>
            <w:vAlign w:val="center"/>
          </w:tcPr>
          <w:p>
            <w:pPr>
              <w:snapToGrid w:val="0"/>
              <w:jc w:val="both"/>
              <w:rPr>
                <w:rFonts w:hint="eastAsia" w:ascii="Times New Roman" w:hAnsi="Times New Roman" w:eastAsia="宋体" w:cs="Times New Roman"/>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用</w:t>
            </w:r>
            <w:r>
              <w:rPr>
                <w:rFonts w:ascii="Times New Roman" w:hAnsi="Times New Roman" w:cs="Times New Roman"/>
                <w:color w:val="000000" w:themeColor="text1"/>
                <w:sz w:val="21"/>
                <w:szCs w:val="21"/>
                <w14:textFill>
                  <w14:solidFill>
                    <w14:schemeClr w14:val="tx1"/>
                  </w14:solidFill>
                </w14:textFill>
              </w:rPr>
              <w:t>户体验舒适，响应速度快，界面流畅，未出现报错提示。</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用户体验一般，有待改进。</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信息安全</w:t>
            </w:r>
          </w:p>
        </w:tc>
        <w:tc>
          <w:tcPr>
            <w:tcW w:w="2405" w:type="dxa"/>
            <w:vAlign w:val="center"/>
          </w:tcPr>
          <w:p>
            <w:pPr>
              <w:snapToGrid w:val="0"/>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平台建立网络与信息安全保障机制，包括但不限于防火墙设置、防病毒软件安装、访问日志留存、平台数据多机备份、服务器密码管理、平台权限管理</w:t>
            </w:r>
            <w:r>
              <w:rPr>
                <w:rFonts w:hint="eastAsia"/>
                <w:color w:val="000000" w:themeColor="text1"/>
                <w:sz w:val="21"/>
                <w:szCs w:val="21"/>
                <w14:textFill>
                  <w14:solidFill>
                    <w14:schemeClr w14:val="tx1"/>
                  </w14:solidFill>
                </w14:textFill>
              </w:rPr>
              <w:t>、个人身份信息数据加密及导出脱敏</w:t>
            </w:r>
            <w:r>
              <w:rPr>
                <w:color w:val="000000" w:themeColor="text1"/>
                <w:sz w:val="21"/>
                <w:szCs w:val="21"/>
                <w14:textFill>
                  <w14:solidFill>
                    <w14:schemeClr w14:val="tx1"/>
                  </w14:solidFill>
                </w14:textFill>
              </w:rPr>
              <w:t>、信息系统安全运维等</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w:t>
            </w:r>
            <w:r>
              <w:rPr>
                <w:color w:val="000000" w:themeColor="text1"/>
                <w:sz w:val="21"/>
                <w:szCs w:val="21"/>
                <w14:textFill>
                  <w14:solidFill>
                    <w14:schemeClr w14:val="tx1"/>
                  </w14:solidFill>
                </w14:textFill>
              </w:rPr>
              <w:t>平台抽验</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平台有完备的网络与信息安全保障体系、网络与信息安全应急处置和通报机制。</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平台的网络与信息安全保障体系、网络与信息安全应急处置和通报机制不够完备。</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pPr>
              <w:pStyle w:val="14"/>
              <w:tabs>
                <w:tab w:val="center" w:pos="709"/>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培训管理（</w:t>
            </w:r>
            <w:r>
              <w:rPr>
                <w:rFonts w:ascii="Times New Roman"/>
                <w:color w:val="000000" w:themeColor="text1"/>
                <w:szCs w:val="21"/>
                <w14:textFill>
                  <w14:solidFill>
                    <w14:schemeClr w14:val="tx1"/>
                  </w14:solidFill>
                </w14:textFill>
              </w:rPr>
              <w:t>45分</w:t>
            </w:r>
            <w:r>
              <w:rPr>
                <w:rFonts w:hint="eastAsia" w:ascii="Times New Roman"/>
                <w:color w:val="000000" w:themeColor="text1"/>
                <w:szCs w:val="21"/>
                <w14:textFill>
                  <w14:solidFill>
                    <w14:schemeClr w14:val="tx1"/>
                  </w14:solidFill>
                </w14:textFill>
              </w:rPr>
              <w:t>）</w:t>
            </w:r>
          </w:p>
        </w:tc>
        <w:tc>
          <w:tcPr>
            <w:tcW w:w="713" w:type="dxa"/>
            <w:vMerge w:val="restart"/>
            <w:vAlign w:val="center"/>
          </w:tcPr>
          <w:p>
            <w:pPr>
              <w:pStyle w:val="14"/>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用户核验（</w:t>
            </w:r>
            <w:r>
              <w:rPr>
                <w:rFonts w:ascii="Times New Roman"/>
                <w:color w:val="000000" w:themeColor="text1"/>
                <w:szCs w:val="21"/>
                <w14:textFill>
                  <w14:solidFill>
                    <w14:schemeClr w14:val="tx1"/>
                  </w14:solidFill>
                </w14:textFill>
              </w:rPr>
              <w:t>8</w:t>
            </w:r>
            <w:r>
              <w:rPr>
                <w:rFonts w:hint="eastAsia" w:ascii="Times New Roman"/>
                <w:color w:val="000000" w:themeColor="text1"/>
                <w:szCs w:val="21"/>
                <w14:textFill>
                  <w14:solidFill>
                    <w14:schemeClr w14:val="tx1"/>
                  </w14:solidFill>
                </w14:textFill>
              </w:rPr>
              <w:t>分）</w:t>
            </w:r>
          </w:p>
        </w:tc>
        <w:tc>
          <w:tcPr>
            <w:tcW w:w="709" w:type="dxa"/>
            <w:vAlign w:val="center"/>
          </w:tcPr>
          <w:p>
            <w:pPr>
              <w:pStyle w:val="14"/>
              <w:tabs>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身份认证</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对服务对象进行实名认证。对机构实名认证内容包括但不限于：机构名称、统一社会信用代码、机构地址、法定代表人姓名、联系人姓名、联系人职务、联系人电话等。对学习者认证内容包括但不限于：姓名、</w:t>
            </w:r>
            <w:r>
              <w:rPr>
                <w:color w:val="000000" w:themeColor="text1"/>
                <w:szCs w:val="21"/>
                <w14:textFill>
                  <w14:solidFill>
                    <w14:schemeClr w14:val="tx1"/>
                  </w14:solidFill>
                </w14:textFill>
              </w:rPr>
              <w:t>公民身份号码</w:t>
            </w:r>
            <w:r>
              <w:rPr>
                <w:rFonts w:hint="eastAsia"/>
                <w:color w:val="000000" w:themeColor="text1"/>
                <w:szCs w:val="21"/>
                <w14:textFill>
                  <w14:solidFill>
                    <w14:schemeClr w14:val="tx1"/>
                  </w14:solidFill>
                </w14:textFill>
              </w:rPr>
              <w:t>、电子社保卡号码、手机号码、居民身份证照片、</w:t>
            </w:r>
            <w:r>
              <w:rPr>
                <w:color w:val="000000" w:themeColor="text1"/>
                <w:szCs w:val="21"/>
                <w14:textFill>
                  <w14:solidFill>
                    <w14:schemeClr w14:val="tx1"/>
                  </w14:solidFill>
                </w14:textFill>
              </w:rPr>
              <w:t>头像相片</w:t>
            </w:r>
            <w:r>
              <w:rPr>
                <w:rFonts w:hint="eastAsia"/>
                <w:color w:val="000000" w:themeColor="text1"/>
                <w:szCs w:val="21"/>
                <w14:textFill>
                  <w14:solidFill>
                    <w14:schemeClr w14:val="tx1"/>
                  </w14:solidFill>
                </w14:textFill>
              </w:rPr>
              <w:t>等</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平台</w:t>
            </w:r>
            <w:r>
              <w:rPr>
                <w:rFonts w:ascii="Times New Roman"/>
                <w:color w:val="000000" w:themeColor="text1"/>
                <w:szCs w:val="21"/>
                <w14:textFill>
                  <w14:solidFill>
                    <w14:schemeClr w14:val="tx1"/>
                  </w14:solidFill>
                </w14:textFill>
              </w:rPr>
              <w:t>严格执行</w:t>
            </w:r>
            <w:r>
              <w:rPr>
                <w:rFonts w:hint="eastAsia"/>
                <w:color w:val="000000" w:themeColor="text1"/>
                <w:szCs w:val="21"/>
                <w14:textFill>
                  <w14:solidFill>
                    <w14:schemeClr w14:val="tx1"/>
                  </w14:solidFill>
                </w14:textFill>
              </w:rPr>
              <w:t>对服务对象的实名认证</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平台对服务对象的实名认证存在漏洞</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704" w:type="dxa"/>
            <w:vMerge w:val="continue"/>
            <w:vAlign w:val="center"/>
          </w:tcPr>
          <w:p>
            <w:pPr>
              <w:pStyle w:val="14"/>
              <w:tabs>
                <w:tab w:val="center" w:pos="709"/>
              </w:tabs>
              <w:snapToGrid w:val="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18"/>
                <w:tab w:val="clear" w:pos="4201"/>
              </w:tabs>
              <w:snapToGrid w:val="0"/>
              <w:ind w:left="38"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学习过程</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平台具备安全、便捷的用户身份核验技术，包括但不限于采用人脸识别认证、电信运营商手机实名认证、电子社保卡实名认证等方式，在用户注册、学习、考试等环节对用户身份进行核验。支持学习者使用以电子社保卡为载体的职业培训券</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平台支持学习者真实学习行为的身份确认，支持</w:t>
            </w:r>
            <w:r>
              <w:rPr>
                <w:rFonts w:ascii="Times New Roman"/>
                <w:color w:val="000000" w:themeColor="text1"/>
                <w:szCs w:val="21"/>
                <w14:textFill>
                  <w14:solidFill>
                    <w14:schemeClr w14:val="tx1"/>
                  </w14:solidFill>
                </w14:textFill>
              </w:rPr>
              <w:t>职业培训券</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对学习者在学习过程中真实学习行为的身份确认</w:t>
            </w:r>
            <w:r>
              <w:rPr>
                <w:rFonts w:ascii="Times New Roman"/>
                <w:color w:val="000000" w:themeColor="text1"/>
                <w:szCs w:val="21"/>
                <w14:textFill>
                  <w14:solidFill>
                    <w14:schemeClr w14:val="tx1"/>
                  </w14:solidFill>
                </w14:textFill>
              </w:rPr>
              <w:t>存在漏洞</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restart"/>
            <w:vAlign w:val="center"/>
          </w:tcPr>
          <w:p>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培训项目</w:t>
            </w:r>
            <w:r>
              <w:rPr>
                <w:rFonts w:hint="eastAsia" w:ascii="Times New Roman"/>
                <w:color w:val="000000" w:themeColor="text1"/>
                <w:sz w:val="21"/>
                <w:szCs w:val="21"/>
                <w14:textFill>
                  <w14:solidFill>
                    <w14:schemeClr w14:val="tx1"/>
                  </w14:solidFill>
                </w14:textFill>
              </w:rPr>
              <w:t>（</w:t>
            </w:r>
            <w:r>
              <w:rPr>
                <w:rFonts w:ascii="Times New Roman" w:hAnsi="Times New Roman"/>
                <w:color w:val="000000" w:themeColor="text1"/>
                <w:sz w:val="21"/>
                <w:szCs w:val="21"/>
                <w14:textFill>
                  <w14:solidFill>
                    <w14:schemeClr w14:val="tx1"/>
                  </w14:solidFill>
                </w14:textFill>
              </w:rPr>
              <w:t>12</w:t>
            </w:r>
            <w:r>
              <w:rPr>
                <w:color w:val="000000" w:themeColor="text1"/>
                <w:sz w:val="21"/>
                <w:szCs w:val="21"/>
                <w14:textFill>
                  <w14:solidFill>
                    <w14:schemeClr w14:val="tx1"/>
                  </w14:solidFill>
                </w14:textFill>
              </w:rPr>
              <w:t>分</w:t>
            </w:r>
            <w:r>
              <w:rPr>
                <w:rFonts w:hint="eastAsia" w:ascii="Times New Roman"/>
                <w:color w:val="000000" w:themeColor="text1"/>
                <w:sz w:val="2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分类目录</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培训项目根据培训对象、国家职业分类等方式进行分类管理</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文件审阅平台抽验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培训项目职业（工种）分类合理。</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培训项目职业（工种）分类不够合理。</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strike/>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课程编排</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培训项目发布支持根据相关标准规范中要求的知识点和技能点进行课程内容编排。相关标准规范包括国家职业标准、专项职业能力考核规范、企业岗位规范等</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文件审阅平台抽验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机构上传课程时，按照相关标准规范编排课程大纲、目录结构等内容。</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strike/>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机构上传课程时，课程内容未完全按照相关标准规范编排。</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37"/>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内容形式</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培训项目发布支持多种内容形式，包括但不限于视频、音频、图文、文档、自测、互动式课件、虚拟仿真等</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培训项目发布支持多种内容形式</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培训项目发布支持</w:t>
            </w:r>
            <w:r>
              <w:rPr>
                <w:rFonts w:hint="eastAsia" w:ascii="Times New Roman"/>
                <w:color w:val="000000" w:themeColor="text1"/>
                <w:szCs w:val="21"/>
                <w14:textFill>
                  <w14:solidFill>
                    <w14:schemeClr w14:val="tx1"/>
                  </w14:solidFill>
                </w14:textFill>
              </w:rPr>
              <w:t>的</w:t>
            </w:r>
            <w:r>
              <w:rPr>
                <w:rFonts w:ascii="Times New Roman"/>
                <w:color w:val="000000" w:themeColor="text1"/>
                <w:szCs w:val="21"/>
                <w14:textFill>
                  <w14:solidFill>
                    <w14:schemeClr w14:val="tx1"/>
                  </w14:solidFill>
                </w14:textFill>
              </w:rPr>
              <w:t>内容形式</w:t>
            </w:r>
            <w:r>
              <w:rPr>
                <w:rFonts w:hint="eastAsia" w:ascii="Times New Roman"/>
                <w:color w:val="000000" w:themeColor="text1"/>
                <w:szCs w:val="21"/>
                <w14:textFill>
                  <w14:solidFill>
                    <w14:schemeClr w14:val="tx1"/>
                  </w14:solidFill>
                </w14:textFill>
              </w:rPr>
              <w:t>较为单一。</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restart"/>
            <w:vAlign w:val="center"/>
          </w:tcPr>
          <w:p>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培训过程</w:t>
            </w:r>
            <w:r>
              <w:rPr>
                <w:rFonts w:hint="eastAsia" w:ascii="Times New Roman"/>
                <w:color w:val="000000" w:themeColor="text1"/>
                <w:sz w:val="21"/>
                <w:szCs w:val="21"/>
                <w14:textFill>
                  <w14:solidFill>
                    <w14:schemeClr w14:val="tx1"/>
                  </w14:solidFill>
                </w14:textFill>
              </w:rPr>
              <w:t>（</w:t>
            </w:r>
            <w:r>
              <w:rPr>
                <w:rFonts w:ascii="Times New Roman" w:hAnsi="Times New Roman"/>
                <w:color w:val="000000" w:themeColor="text1"/>
                <w:sz w:val="21"/>
                <w:szCs w:val="21"/>
                <w14:textFill>
                  <w14:solidFill>
                    <w14:schemeClr w14:val="tx1"/>
                  </w14:solidFill>
                </w14:textFill>
              </w:rPr>
              <w:t>12</w:t>
            </w:r>
            <w:r>
              <w:rPr>
                <w:color w:val="000000" w:themeColor="text1"/>
                <w:sz w:val="21"/>
                <w:szCs w:val="21"/>
                <w14:textFill>
                  <w14:solidFill>
                    <w14:schemeClr w14:val="tx1"/>
                  </w14:solidFill>
                </w14:textFill>
              </w:rPr>
              <w:t>分</w:t>
            </w:r>
            <w:r>
              <w:rPr>
                <w:rFonts w:hint="eastAsia" w:ascii="Times New Roman"/>
                <w:color w:val="000000" w:themeColor="text1"/>
                <w:sz w:val="2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培训</w:t>
            </w:r>
          </w:p>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形式</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培训过程支持直播、录播、课件、在线研讨、互动交流等多种培训形式</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支持直播、录播、课件、在线研讨、互动交流等多种培训形式。</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支持</w:t>
            </w:r>
            <w:r>
              <w:rPr>
                <w:rFonts w:hint="eastAsia" w:ascii="Times New Roman"/>
                <w:color w:val="000000" w:themeColor="text1"/>
                <w:szCs w:val="21"/>
                <w14:textFill>
                  <w14:solidFill>
                    <w14:schemeClr w14:val="tx1"/>
                  </w14:solidFill>
                </w14:textFill>
              </w:rPr>
              <w:t>的</w:t>
            </w:r>
            <w:r>
              <w:rPr>
                <w:rFonts w:ascii="Times New Roman"/>
                <w:color w:val="000000" w:themeColor="text1"/>
                <w:szCs w:val="21"/>
                <w14:textFill>
                  <w14:solidFill>
                    <w14:schemeClr w14:val="tx1"/>
                  </w14:solidFill>
                </w14:textFill>
              </w:rPr>
              <w:t>培训形式</w:t>
            </w:r>
            <w:r>
              <w:rPr>
                <w:rFonts w:hint="eastAsia" w:ascii="Times New Roman"/>
                <w:color w:val="000000" w:themeColor="text1"/>
                <w:szCs w:val="21"/>
                <w14:textFill>
                  <w14:solidFill>
                    <w14:schemeClr w14:val="tx1"/>
                  </w14:solidFill>
                </w14:textFill>
              </w:rPr>
              <w:t>较为单一。</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组织形式</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培训过程</w:t>
            </w:r>
            <w:r>
              <w:rPr>
                <w:color w:val="000000" w:themeColor="text1"/>
                <w:szCs w:val="21"/>
                <w14:textFill>
                  <w14:solidFill>
                    <w14:schemeClr w14:val="tx1"/>
                  </w14:solidFill>
                </w14:textFill>
              </w:rPr>
              <w:t>支持</w:t>
            </w:r>
            <w:r>
              <w:rPr>
                <w:rFonts w:hint="eastAsia"/>
                <w:color w:val="000000" w:themeColor="text1"/>
                <w:szCs w:val="21"/>
                <w14:textFill>
                  <w14:solidFill>
                    <w14:schemeClr w14:val="tx1"/>
                  </w14:solidFill>
                </w14:textFill>
              </w:rPr>
              <w:t>学习者</w:t>
            </w:r>
            <w:r>
              <w:rPr>
                <w:color w:val="000000" w:themeColor="text1"/>
                <w:szCs w:val="21"/>
                <w14:textFill>
                  <w14:solidFill>
                    <w14:schemeClr w14:val="tx1"/>
                  </w14:solidFill>
                </w14:textFill>
              </w:rPr>
              <w:t>自主学习、模拟实操、测试、协作等多种培训组织形式</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支持自主学习、模拟实操、测试、协作等多种培训组织形式</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支持</w:t>
            </w:r>
            <w:r>
              <w:rPr>
                <w:rFonts w:hint="eastAsia" w:ascii="Times New Roman"/>
                <w:color w:val="000000" w:themeColor="text1"/>
                <w:szCs w:val="21"/>
                <w14:textFill>
                  <w14:solidFill>
                    <w14:schemeClr w14:val="tx1"/>
                  </w14:solidFill>
                </w14:textFill>
              </w:rPr>
              <w:t>的</w:t>
            </w:r>
            <w:r>
              <w:rPr>
                <w:rFonts w:ascii="Times New Roman"/>
                <w:color w:val="000000" w:themeColor="text1"/>
                <w:szCs w:val="21"/>
                <w14:textFill>
                  <w14:solidFill>
                    <w14:schemeClr w14:val="tx1"/>
                  </w14:solidFill>
                </w14:textFill>
              </w:rPr>
              <w:t>培训组织形式</w:t>
            </w:r>
            <w:r>
              <w:rPr>
                <w:rFonts w:hint="eastAsia" w:ascii="Times New Roman"/>
                <w:color w:val="000000" w:themeColor="text1"/>
                <w:szCs w:val="21"/>
                <w14:textFill>
                  <w14:solidFill>
                    <w14:schemeClr w14:val="tx1"/>
                  </w14:solidFill>
                </w14:textFill>
              </w:rPr>
              <w:t>较为单一。</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应答服务</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bookmarkStart w:id="100" w:name="sys274039"/>
            <w:r>
              <w:rPr>
                <w:color w:val="000000" w:themeColor="text1"/>
                <w:szCs w:val="21"/>
                <w14:textFill>
                  <w14:solidFill>
                    <w14:schemeClr w14:val="tx1"/>
                  </w14:solidFill>
                </w14:textFill>
              </w:rPr>
              <w:t>培训过程支持电子邮件、即时</w:t>
            </w:r>
            <w:r>
              <w:rPr>
                <w:rFonts w:hint="eastAsia"/>
                <w:color w:val="000000" w:themeColor="text1"/>
                <w:szCs w:val="21"/>
                <w14:textFill>
                  <w14:solidFill>
                    <w14:schemeClr w14:val="tx1"/>
                  </w14:solidFill>
                </w14:textFill>
              </w:rPr>
              <w:t>通信</w:t>
            </w:r>
            <w:r>
              <w:rPr>
                <w:color w:val="000000" w:themeColor="text1"/>
                <w:szCs w:val="21"/>
                <w14:textFill>
                  <w14:solidFill>
                    <w14:schemeClr w14:val="tx1"/>
                  </w14:solidFill>
                </w14:textFill>
              </w:rPr>
              <w:t>、电话等多种形式</w:t>
            </w:r>
            <w:r>
              <w:rPr>
                <w:rFonts w:hint="eastAsia"/>
                <w:color w:val="000000" w:themeColor="text1"/>
                <w:szCs w:val="21"/>
                <w14:textFill>
                  <w14:solidFill>
                    <w14:schemeClr w14:val="tx1"/>
                  </w14:solidFill>
                </w14:textFill>
              </w:rPr>
              <w:t>向</w:t>
            </w:r>
            <w:r>
              <w:rPr>
                <w:color w:val="000000" w:themeColor="text1"/>
                <w:szCs w:val="21"/>
                <w14:textFill>
                  <w14:solidFill>
                    <w14:schemeClr w14:val="tx1"/>
                  </w14:solidFill>
                </w14:textFill>
              </w:rPr>
              <w:t>学习者推送培训安排及答疑支持</w:t>
            </w:r>
            <w:bookmarkEnd w:id="100"/>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向</w:t>
            </w:r>
            <w:r>
              <w:rPr>
                <w:color w:val="000000" w:themeColor="text1"/>
                <w:szCs w:val="21"/>
                <w14:textFill>
                  <w14:solidFill>
                    <w14:schemeClr w14:val="tx1"/>
                  </w14:solidFill>
                </w14:textFill>
              </w:rPr>
              <w:t>学习者推送培训安排及答疑支持</w:t>
            </w:r>
            <w:r>
              <w:rPr>
                <w:rFonts w:hint="eastAsia"/>
                <w:color w:val="000000" w:themeColor="text1"/>
                <w:szCs w:val="21"/>
                <w14:textFill>
                  <w14:solidFill>
                    <w14:schemeClr w14:val="tx1"/>
                  </w14:solidFill>
                </w14:textFill>
              </w:rPr>
              <w:t>的</w:t>
            </w:r>
            <w:r>
              <w:rPr>
                <w:color w:val="000000" w:themeColor="text1"/>
                <w:szCs w:val="21"/>
                <w14:textFill>
                  <w14:solidFill>
                    <w14:schemeClr w14:val="tx1"/>
                  </w14:solidFill>
                </w14:textFill>
              </w:rPr>
              <w:t>形式</w:t>
            </w:r>
            <w:r>
              <w:rPr>
                <w:rFonts w:hint="eastAsia"/>
                <w:color w:val="000000" w:themeColor="text1"/>
                <w:szCs w:val="21"/>
                <w14:textFill>
                  <w14:solidFill>
                    <w14:schemeClr w14:val="tx1"/>
                  </w14:solidFill>
                </w14:textFill>
              </w:rPr>
              <w:t>包括、</w:t>
            </w:r>
            <w:r>
              <w:rPr>
                <w:color w:val="000000" w:themeColor="text1"/>
                <w:szCs w:val="21"/>
                <w14:textFill>
                  <w14:solidFill>
                    <w14:schemeClr w14:val="tx1"/>
                  </w14:solidFill>
                </w14:textFill>
              </w:rPr>
              <w:t>电子邮件、即时</w:t>
            </w:r>
            <w:r>
              <w:rPr>
                <w:rFonts w:hint="eastAsia"/>
                <w:color w:val="000000" w:themeColor="text1"/>
                <w:szCs w:val="21"/>
                <w14:textFill>
                  <w14:solidFill>
                    <w14:schemeClr w14:val="tx1"/>
                  </w14:solidFill>
                </w14:textFill>
              </w:rPr>
              <w:t>通信</w:t>
            </w:r>
            <w:r>
              <w:rPr>
                <w:color w:val="000000" w:themeColor="text1"/>
                <w:szCs w:val="21"/>
                <w14:textFill>
                  <w14:solidFill>
                    <w14:schemeClr w14:val="tx1"/>
                  </w14:solidFill>
                </w14:textFill>
              </w:rPr>
              <w:t>、电话等</w:t>
            </w:r>
            <w:r>
              <w:rPr>
                <w:rFonts w:hint="eastAsia"/>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color w:val="000000" w:themeColor="text1"/>
                <w:szCs w:val="21"/>
                <w14:textFill>
                  <w14:solidFill>
                    <w14:schemeClr w14:val="tx1"/>
                  </w14:solidFill>
                </w14:textFill>
              </w:rPr>
              <w:t>向</w:t>
            </w:r>
            <w:r>
              <w:rPr>
                <w:color w:val="000000" w:themeColor="text1"/>
                <w:szCs w:val="21"/>
                <w14:textFill>
                  <w14:solidFill>
                    <w14:schemeClr w14:val="tx1"/>
                  </w14:solidFill>
                </w14:textFill>
              </w:rPr>
              <w:t>学习者推送培训安排及答疑支持</w:t>
            </w:r>
            <w:r>
              <w:rPr>
                <w:rFonts w:hint="eastAsia"/>
                <w:color w:val="000000" w:themeColor="text1"/>
                <w:szCs w:val="21"/>
                <w14:textFill>
                  <w14:solidFill>
                    <w14:schemeClr w14:val="tx1"/>
                  </w14:solidFill>
                </w14:textFill>
              </w:rPr>
              <w:t>的形式较为单一。</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restart"/>
            <w:vAlign w:val="center"/>
          </w:tcPr>
          <w:p>
            <w:pPr>
              <w:adjustRightInd w:val="0"/>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质量与安全管理</w:t>
            </w:r>
            <w:r>
              <w:rPr>
                <w:rFonts w:hint="eastAsia" w:ascii="Times New Roman"/>
                <w:color w:val="000000" w:themeColor="text1"/>
                <w:sz w:val="21"/>
                <w:szCs w:val="21"/>
                <w14:textFill>
                  <w14:solidFill>
                    <w14:schemeClr w14:val="tx1"/>
                  </w14:solidFill>
                </w14:textFill>
              </w:rPr>
              <w:t>（</w:t>
            </w:r>
            <w:r>
              <w:rPr>
                <w:rFonts w:ascii="Times New Roman" w:hAnsi="Times New Roman"/>
                <w:color w:val="000000" w:themeColor="text1"/>
                <w:sz w:val="21"/>
                <w:szCs w:val="21"/>
                <w14:textFill>
                  <w14:solidFill>
                    <w14:schemeClr w14:val="tx1"/>
                  </w14:solidFill>
                </w14:textFill>
              </w:rPr>
              <w:t>13</w:t>
            </w:r>
            <w:r>
              <w:rPr>
                <w:color w:val="000000" w:themeColor="text1"/>
                <w:sz w:val="21"/>
                <w:szCs w:val="21"/>
                <w14:textFill>
                  <w14:solidFill>
                    <w14:schemeClr w14:val="tx1"/>
                  </w14:solidFill>
                </w14:textFill>
              </w:rPr>
              <w:t>分</w:t>
            </w:r>
            <w:r>
              <w:rPr>
                <w:rFonts w:hint="eastAsia" w:ascii="Times New Roman"/>
                <w:color w:val="000000" w:themeColor="text1"/>
                <w:sz w:val="2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学情监测</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color w:val="000000" w:themeColor="text1"/>
                <w:szCs w:val="21"/>
                <w14:textFill>
                  <w14:solidFill>
                    <w14:schemeClr w14:val="tx1"/>
                  </w14:solidFill>
                </w14:textFill>
              </w:rPr>
              <w:t>平台具有人脸识别、即时互动、禁止同一账号同时多端口登录、禁止多页面非前台播放课程等质量管控功能，防止刷课、挂课、替课、刷考、替考等弄虚作假</w:t>
            </w:r>
            <w:r>
              <w:rPr>
                <w:rFonts w:hint="eastAsia"/>
                <w:color w:val="000000" w:themeColor="text1"/>
                <w:szCs w:val="21"/>
                <w14:textFill>
                  <w14:solidFill>
                    <w14:schemeClr w14:val="tx1"/>
                  </w14:solidFill>
                </w14:textFill>
              </w:rPr>
              <w:t>行为</w:t>
            </w:r>
            <w:r>
              <w:rPr>
                <w:color w:val="000000" w:themeColor="text1"/>
                <w:szCs w:val="21"/>
                <w14:textFill>
                  <w14:solidFill>
                    <w14:schemeClr w14:val="tx1"/>
                  </w14:solidFill>
                </w14:textFill>
              </w:rPr>
              <w:t>，确保培训过程真实、有效</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5</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平台具有人脸识别、即时互动、禁止同一账号同时多端口登录、禁止多页面非前台播放课程等质量管控功能。</w:t>
            </w:r>
            <w:r>
              <w:rPr>
                <w:rFonts w:hint="eastAsia" w:ascii="Times New Roman"/>
                <w:color w:val="000000" w:themeColor="text1"/>
                <w:szCs w:val="21"/>
                <w:lang w:eastAsia="zh-CN"/>
                <w14:textFill>
                  <w14:solidFill>
                    <w14:schemeClr w14:val="tx1"/>
                  </w14:solidFill>
                </w14:textFill>
              </w:rPr>
              <w:t>（3.1～5.0分）</w:t>
            </w:r>
          </w:p>
          <w:p>
            <w:pPr>
              <w:pStyle w:val="14"/>
              <w:tabs>
                <w:tab w:val="center" w:pos="709"/>
                <w:tab w:val="clear" w:pos="4201"/>
              </w:tabs>
              <w:snapToGrid w:val="0"/>
              <w:ind w:firstLine="0" w:firstLineChars="0"/>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平台具有人脸识别、禁止同一账号同时多端口登录等质量管控功能。</w:t>
            </w:r>
            <w:r>
              <w:rPr>
                <w:rFonts w:hint="eastAsia" w:ascii="Times New Roman"/>
                <w:color w:val="000000" w:themeColor="text1"/>
                <w:szCs w:val="21"/>
                <w:lang w:eastAsia="zh-CN"/>
                <w14:textFill>
                  <w14:solidFill>
                    <w14:schemeClr w14:val="tx1"/>
                  </w14:solidFill>
                </w14:textFill>
              </w:rPr>
              <w:t>（1.0～3.0分）</w:t>
            </w:r>
          </w:p>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color w:val="000000" w:themeColor="text1"/>
                <w:szCs w:val="21"/>
                <w14:textFill>
                  <w14:solidFill>
                    <w14:schemeClr w14:val="tx1"/>
                  </w14:solidFill>
                </w14:textFill>
              </w:rPr>
              <w:t>不具备相应功能</w:t>
            </w:r>
            <w:r>
              <w:rPr>
                <w:rFonts w:hint="eastAsia"/>
                <w:color w:val="000000" w:themeColor="text1"/>
                <w:szCs w:val="21"/>
                <w14:textFill>
                  <w14:solidFill>
                    <w14:schemeClr w14:val="tx1"/>
                  </w14:solidFill>
                </w14:textFill>
              </w:rPr>
              <w:t>。</w:t>
            </w:r>
            <w:r>
              <w:rPr>
                <w:rFonts w:hint="eastAsia"/>
                <w:color w:val="000000" w:themeColor="text1"/>
                <w:szCs w:val="21"/>
                <w:lang w:eastAsia="zh-CN"/>
                <w14:textFill>
                  <w14:solidFill>
                    <w14:schemeClr w14:val="tx1"/>
                  </w14:solidFill>
                </w14:textFill>
              </w:rPr>
              <w:t>（</w:t>
            </w:r>
            <w:r>
              <w:rPr>
                <w:rFonts w:ascii="Times New Roman"/>
                <w:color w:val="000000" w:themeColor="text1"/>
                <w:szCs w:val="21"/>
                <w14:textFill>
                  <w14:solidFill>
                    <w14:schemeClr w14:val="tx1"/>
                  </w14:solidFill>
                </w14:textFill>
              </w:rPr>
              <w:t>0</w:t>
            </w:r>
            <w:r>
              <w:rPr>
                <w:color w:val="000000" w:themeColor="text1"/>
                <w:szCs w:val="21"/>
                <w14:textFill>
                  <w14:solidFill>
                    <w14:schemeClr w14:val="tx1"/>
                  </w14:solidFill>
                </w14:textFill>
              </w:rPr>
              <w:t>分</w:t>
            </w:r>
            <w:r>
              <w:rPr>
                <w:rFonts w:hint="eastAsia"/>
                <w:color w:val="000000" w:themeColor="text1"/>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统计管理</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color w:val="000000" w:themeColor="text1"/>
                <w:szCs w:val="21"/>
                <w14:textFill>
                  <w14:solidFill>
                    <w14:schemeClr w14:val="tx1"/>
                  </w14:solidFill>
                </w14:textFill>
              </w:rPr>
              <w:t>平台支持培训机构、企业用人单位对培训班级、学习者的</w:t>
            </w:r>
            <w:r>
              <w:rPr>
                <w:rFonts w:hint="eastAsia"/>
                <w:color w:val="000000" w:themeColor="text1"/>
                <w:szCs w:val="21"/>
                <w14:textFill>
                  <w14:solidFill>
                    <w14:schemeClr w14:val="tx1"/>
                  </w14:solidFill>
                </w14:textFill>
              </w:rPr>
              <w:t>考勤</w:t>
            </w:r>
            <w:r>
              <w:rPr>
                <w:color w:val="000000" w:themeColor="text1"/>
                <w:szCs w:val="21"/>
                <w14:textFill>
                  <w14:solidFill>
                    <w14:schemeClr w14:val="tx1"/>
                  </w14:solidFill>
                </w14:textFill>
              </w:rPr>
              <w:t>、学习、测试等数据进行记录、查询、统计分析，支持对培训项目数字资源的使用情况等进行统计分析</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平台支持培训机构、企业用人单位对培训班级、学习者的</w:t>
            </w:r>
            <w:r>
              <w:rPr>
                <w:rFonts w:hint="eastAsia"/>
                <w:color w:val="000000" w:themeColor="text1"/>
                <w:szCs w:val="21"/>
                <w14:textFill>
                  <w14:solidFill>
                    <w14:schemeClr w14:val="tx1"/>
                  </w14:solidFill>
                </w14:textFill>
              </w:rPr>
              <w:t>考勤</w:t>
            </w:r>
            <w:r>
              <w:rPr>
                <w:color w:val="000000" w:themeColor="text1"/>
                <w:szCs w:val="21"/>
                <w14:textFill>
                  <w14:solidFill>
                    <w14:schemeClr w14:val="tx1"/>
                  </w14:solidFill>
                </w14:textFill>
              </w:rPr>
              <w:t>、学习、测试等数据进行记录、查询、统计分析，</w:t>
            </w:r>
            <w:r>
              <w:rPr>
                <w:rFonts w:hint="eastAsia"/>
                <w:color w:val="000000" w:themeColor="text1"/>
                <w:szCs w:val="21"/>
                <w14:textFill>
                  <w14:solidFill>
                    <w14:schemeClr w14:val="tx1"/>
                  </w14:solidFill>
                </w14:textFill>
              </w:rPr>
              <w:t>并且</w:t>
            </w:r>
            <w:r>
              <w:rPr>
                <w:color w:val="000000" w:themeColor="text1"/>
                <w:szCs w:val="21"/>
                <w14:textFill>
                  <w14:solidFill>
                    <w14:schemeClr w14:val="tx1"/>
                  </w14:solidFill>
                </w14:textFill>
              </w:rPr>
              <w:t>支持对培训项目数字资源的使用情况等进行统计分析。</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平台</w:t>
            </w:r>
            <w:r>
              <w:rPr>
                <w:rFonts w:hint="eastAsia"/>
                <w:color w:val="000000" w:themeColor="text1"/>
                <w:szCs w:val="21"/>
                <w14:textFill>
                  <w14:solidFill>
                    <w14:schemeClr w14:val="tx1"/>
                  </w14:solidFill>
                </w14:textFill>
              </w:rPr>
              <w:t>基本</w:t>
            </w:r>
            <w:r>
              <w:rPr>
                <w:color w:val="000000" w:themeColor="text1"/>
                <w:szCs w:val="21"/>
                <w14:textFill>
                  <w14:solidFill>
                    <w14:schemeClr w14:val="tx1"/>
                  </w14:solidFill>
                </w14:textFill>
              </w:rPr>
              <w:t>支持培训机构、企业用人单位对培训班级、学习者的</w:t>
            </w:r>
            <w:r>
              <w:rPr>
                <w:rFonts w:hint="eastAsia"/>
                <w:color w:val="000000" w:themeColor="text1"/>
                <w:szCs w:val="21"/>
                <w14:textFill>
                  <w14:solidFill>
                    <w14:schemeClr w14:val="tx1"/>
                  </w14:solidFill>
                </w14:textFill>
              </w:rPr>
              <w:t>考勤</w:t>
            </w:r>
            <w:r>
              <w:rPr>
                <w:color w:val="000000" w:themeColor="text1"/>
                <w:szCs w:val="21"/>
                <w14:textFill>
                  <w14:solidFill>
                    <w14:schemeClr w14:val="tx1"/>
                  </w14:solidFill>
                </w14:textFill>
              </w:rPr>
              <w:t>、学习、测试等数据进行记录、查询、统计分析，</w:t>
            </w:r>
            <w:r>
              <w:rPr>
                <w:rFonts w:hint="eastAsia"/>
                <w:color w:val="000000" w:themeColor="text1"/>
                <w:szCs w:val="21"/>
                <w14:textFill>
                  <w14:solidFill>
                    <w14:schemeClr w14:val="tx1"/>
                  </w14:solidFill>
                </w14:textFill>
              </w:rPr>
              <w:t>或基本</w:t>
            </w:r>
            <w:r>
              <w:rPr>
                <w:color w:val="000000" w:themeColor="text1"/>
                <w:szCs w:val="21"/>
                <w14:textFill>
                  <w14:solidFill>
                    <w14:schemeClr w14:val="tx1"/>
                  </w14:solidFill>
                </w14:textFill>
              </w:rPr>
              <w:t>支持对培训项目数字资源的使用情况等进行统计分析。</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1" w:hRule="atLeast"/>
          <w:jc w:val="center"/>
        </w:trPr>
        <w:tc>
          <w:tcPr>
            <w:tcW w:w="704"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13" w:type="dxa"/>
            <w:vMerge w:val="continue"/>
            <w:vAlign w:val="center"/>
          </w:tcPr>
          <w:p>
            <w:pPr>
              <w:adjustRightInd w:val="0"/>
              <w:snapToGrid w:val="0"/>
              <w:jc w:val="center"/>
              <w:rPr>
                <w:color w:val="000000" w:themeColor="text1"/>
                <w:sz w:val="2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监管功能</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color w:val="000000" w:themeColor="text1"/>
                <w:szCs w:val="21"/>
                <w14:textFill>
                  <w14:solidFill>
                    <w14:schemeClr w14:val="tx1"/>
                  </w14:solidFill>
                </w14:textFill>
              </w:rPr>
              <w:t>平台支持监管机构对培训机构、企业用人单位开展的培训项目数据进行查询、调取、统计分析</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4</w:t>
            </w:r>
          </w:p>
        </w:tc>
        <w:tc>
          <w:tcPr>
            <w:tcW w:w="1134" w:type="dxa"/>
            <w:vAlign w:val="center"/>
          </w:tcPr>
          <w:p>
            <w:pPr>
              <w:pStyle w:val="14"/>
              <w:tabs>
                <w:tab w:val="center" w:pos="709"/>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平台检验</w:t>
            </w:r>
          </w:p>
        </w:tc>
        <w:tc>
          <w:tcPr>
            <w:tcW w:w="2556" w:type="dxa"/>
            <w:vAlign w:val="center"/>
          </w:tcPr>
          <w:p>
            <w:pPr>
              <w:pStyle w:val="14"/>
              <w:tabs>
                <w:tab w:val="center" w:pos="709"/>
                <w:tab w:val="clear" w:pos="4201"/>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监管机构</w:t>
            </w:r>
            <w:r>
              <w:rPr>
                <w:rFonts w:hint="eastAsia"/>
                <w:color w:val="000000" w:themeColor="text1"/>
                <w:szCs w:val="21"/>
                <w14:textFill>
                  <w14:solidFill>
                    <w14:schemeClr w14:val="tx1"/>
                  </w14:solidFill>
                </w14:textFill>
              </w:rPr>
              <w:t>可通过平台对</w:t>
            </w:r>
            <w:r>
              <w:rPr>
                <w:color w:val="000000" w:themeColor="text1"/>
                <w:szCs w:val="21"/>
                <w14:textFill>
                  <w14:solidFill>
                    <w14:schemeClr w14:val="tx1"/>
                  </w14:solidFill>
                </w14:textFill>
              </w:rPr>
              <w:t>培训机构、企业用人单位开展的培训项目数据进行查询、调取、统计分析。</w:t>
            </w:r>
            <w:r>
              <w:rPr>
                <w:rFonts w:hint="eastAsia" w:ascii="Times New Roman"/>
                <w:color w:val="000000" w:themeColor="text1"/>
                <w:szCs w:val="21"/>
                <w:lang w:eastAsia="zh-CN"/>
                <w14:textFill>
                  <w14:solidFill>
                    <w14:schemeClr w14:val="tx1"/>
                  </w14:solidFill>
                </w14:textFill>
              </w:rPr>
              <w:t>（3.1～4.0分）</w:t>
            </w:r>
          </w:p>
          <w:p>
            <w:pPr>
              <w:pStyle w:val="14"/>
              <w:tabs>
                <w:tab w:val="center" w:pos="709"/>
                <w:tab w:val="clear" w:pos="4201"/>
              </w:tabs>
              <w:snapToGrid w:val="0"/>
              <w:ind w:firstLine="0" w:firstLineChars="0"/>
              <w:rPr>
                <w:rFonts w:hint="eastAsia" w:eastAsia="宋体"/>
                <w:color w:val="000000" w:themeColor="text1"/>
                <w:szCs w:val="21"/>
                <w:lang w:eastAsia="zh-CN"/>
                <w14:textFill>
                  <w14:solidFill>
                    <w14:schemeClr w14:val="tx1"/>
                  </w14:solidFill>
                </w14:textFill>
              </w:rPr>
            </w:pPr>
            <w:r>
              <w:rPr>
                <w:color w:val="000000" w:themeColor="text1"/>
                <w:szCs w:val="21"/>
                <w14:textFill>
                  <w14:solidFill>
                    <w14:schemeClr w14:val="tx1"/>
                  </w14:solidFill>
                </w14:textFill>
              </w:rPr>
              <w:t>监管机构</w:t>
            </w:r>
            <w:r>
              <w:rPr>
                <w:rFonts w:hint="eastAsia"/>
                <w:color w:val="000000" w:themeColor="text1"/>
                <w:szCs w:val="21"/>
                <w14:textFill>
                  <w14:solidFill>
                    <w14:schemeClr w14:val="tx1"/>
                  </w14:solidFill>
                </w14:textFill>
              </w:rPr>
              <w:t>可通过平台对</w:t>
            </w:r>
            <w:r>
              <w:rPr>
                <w:color w:val="000000" w:themeColor="text1"/>
                <w:szCs w:val="21"/>
                <w14:textFill>
                  <w14:solidFill>
                    <w14:schemeClr w14:val="tx1"/>
                  </w14:solidFill>
                </w14:textFill>
              </w:rPr>
              <w:t>培训机构</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企业用人单位开展的</w:t>
            </w:r>
            <w:r>
              <w:rPr>
                <w:rFonts w:hint="eastAsia"/>
                <w:color w:val="000000" w:themeColor="text1"/>
                <w:szCs w:val="21"/>
                <w14:textFill>
                  <w14:solidFill>
                    <w14:schemeClr w14:val="tx1"/>
                  </w14:solidFill>
                </w14:textFill>
              </w:rPr>
              <w:t>部分</w:t>
            </w:r>
            <w:r>
              <w:rPr>
                <w:color w:val="000000" w:themeColor="text1"/>
                <w:szCs w:val="21"/>
                <w14:textFill>
                  <w14:solidFill>
                    <w14:schemeClr w14:val="tx1"/>
                  </w14:solidFill>
                </w14:textFill>
              </w:rPr>
              <w:t>培训项目数据进行查询、调取</w:t>
            </w:r>
            <w:r>
              <w:rPr>
                <w:rFonts w:hint="eastAsia"/>
                <w:color w:val="000000" w:themeColor="text1"/>
                <w:szCs w:val="21"/>
                <w14:textFill>
                  <w14:solidFill>
                    <w14:schemeClr w14:val="tx1"/>
                  </w14:solidFill>
                </w14:textFill>
              </w:rPr>
              <w:t>或</w:t>
            </w:r>
            <w:r>
              <w:rPr>
                <w:color w:val="000000" w:themeColor="text1"/>
                <w:szCs w:val="21"/>
                <w14:textFill>
                  <w14:solidFill>
                    <w14:schemeClr w14:val="tx1"/>
                  </w14:solidFill>
                </w14:textFill>
              </w:rPr>
              <w:t>统计分析。</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04"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学习服务（</w:t>
            </w:r>
            <w:r>
              <w:rPr>
                <w:rFonts w:ascii="Times New Roman"/>
                <w:color w:val="000000" w:themeColor="text1"/>
                <w:szCs w:val="21"/>
                <w14:textFill>
                  <w14:solidFill>
                    <w14:schemeClr w14:val="tx1"/>
                  </w14:solidFill>
                </w14:textFill>
              </w:rPr>
              <w:t>20分</w:t>
            </w:r>
            <w:r>
              <w:rPr>
                <w:rFonts w:hint="eastAsia" w:ascii="Times New Roman"/>
                <w:color w:val="000000" w:themeColor="text1"/>
                <w:szCs w:val="21"/>
                <w14:textFill>
                  <w14:solidFill>
                    <w14:schemeClr w14:val="tx1"/>
                  </w14:solidFill>
                </w14:textFill>
              </w:rPr>
              <w:t>）</w:t>
            </w: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学习功能（</w:t>
            </w:r>
            <w:r>
              <w:rPr>
                <w:rFonts w:ascii="Times New Roman"/>
                <w:color w:val="000000" w:themeColor="text1"/>
                <w:szCs w:val="21"/>
                <w14:textFill>
                  <w14:solidFill>
                    <w14:schemeClr w14:val="tx1"/>
                  </w14:solidFill>
                </w14:textFill>
              </w:rPr>
              <w:t>12分</w:t>
            </w:r>
            <w:r>
              <w:rPr>
                <w:rFonts w:hint="eastAsia" w:ascii="Times New Roman"/>
                <w:color w:val="000000" w:themeColor="text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w:t>
            </w:r>
          </w:p>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过程</w:t>
            </w:r>
          </w:p>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记录</w:t>
            </w:r>
          </w:p>
        </w:tc>
        <w:tc>
          <w:tcPr>
            <w:tcW w:w="2405" w:type="dxa"/>
            <w:vAlign w:val="center"/>
          </w:tcPr>
          <w:p>
            <w:pPr>
              <w:pStyle w:val="14"/>
              <w:tabs>
                <w:tab w:val="center" w:pos="709"/>
                <w:tab w:val="clear" w:pos="4201"/>
              </w:tabs>
              <w:snapToGrid w:val="0"/>
              <w:ind w:firstLine="0" w:firstLineChars="0"/>
              <w:rPr>
                <w:color w:val="000000" w:themeColor="text1"/>
                <w:szCs w:val="21"/>
                <w14:textFill>
                  <w14:solidFill>
                    <w14:schemeClr w14:val="tx1"/>
                  </w14:solidFill>
                </w14:textFill>
              </w:rPr>
            </w:pPr>
            <w:r>
              <w:rPr>
                <w:color w:val="000000" w:themeColor="text1"/>
                <w:szCs w:val="21"/>
                <w14:textFill>
                  <w14:solidFill>
                    <w14:schemeClr w14:val="tx1"/>
                  </w14:solidFill>
                </w14:textFill>
              </w:rPr>
              <w:t>平台支持对学习者学习过程进行记录，包括但不限于学习开始时间、学习时长、作业和测试</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4</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平台检验</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学习</w:t>
            </w:r>
            <w:r>
              <w:rPr>
                <w:color w:val="000000" w:themeColor="text1"/>
                <w:sz w:val="21"/>
                <w:szCs w:val="21"/>
                <w14:textFill>
                  <w14:solidFill>
                    <w14:schemeClr w14:val="tx1"/>
                  </w14:solidFill>
                </w14:textFill>
              </w:rPr>
              <w:t>过程</w:t>
            </w:r>
            <w:r>
              <w:rPr>
                <w:rFonts w:hint="eastAsia"/>
                <w:color w:val="000000" w:themeColor="text1"/>
                <w:sz w:val="21"/>
                <w:szCs w:val="21"/>
                <w14:textFill>
                  <w14:solidFill>
                    <w14:schemeClr w14:val="tx1"/>
                  </w14:solidFill>
                </w14:textFill>
              </w:rPr>
              <w:t>记录完整、进度可控。</w:t>
            </w:r>
            <w:r>
              <w:rPr>
                <w:rFonts w:hint="eastAsia" w:ascii="Times New Roman" w:hAnsi="Times New Roman" w:cs="Times New Roman"/>
                <w:color w:val="000000" w:themeColor="text1"/>
                <w:sz w:val="21"/>
                <w:szCs w:val="21"/>
                <w:lang w:eastAsia="zh-CN"/>
                <w14:textFill>
                  <w14:solidFill>
                    <w14:schemeClr w14:val="tx1"/>
                  </w14:solidFill>
                </w14:textFill>
              </w:rPr>
              <w:t>（3.1～4.0分）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学习</w:t>
            </w:r>
            <w:r>
              <w:rPr>
                <w:color w:val="000000" w:themeColor="text1"/>
                <w:sz w:val="21"/>
                <w:szCs w:val="21"/>
                <w14:textFill>
                  <w14:solidFill>
                    <w14:schemeClr w14:val="tx1"/>
                  </w14:solidFill>
                </w14:textFill>
              </w:rPr>
              <w:t>过程</w:t>
            </w:r>
            <w:r>
              <w:rPr>
                <w:rFonts w:hint="eastAsia"/>
                <w:color w:val="000000" w:themeColor="text1"/>
                <w:sz w:val="21"/>
                <w:szCs w:val="21"/>
                <w14:textFill>
                  <w14:solidFill>
                    <w14:schemeClr w14:val="tx1"/>
                  </w14:solidFill>
                </w14:textFill>
              </w:rPr>
              <w:t>记录不完整、进度不可控。</w:t>
            </w:r>
            <w:r>
              <w:rPr>
                <w:rFonts w:hint="eastAsia" w:ascii="Times New Roman" w:hAnsi="Times New Roman" w:cs="Times New Roman"/>
                <w:color w:val="000000" w:themeColor="text1"/>
                <w:sz w:val="2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学习</w:t>
            </w:r>
          </w:p>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评价</w:t>
            </w:r>
          </w:p>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记录</w:t>
            </w:r>
          </w:p>
        </w:tc>
        <w:tc>
          <w:tcPr>
            <w:tcW w:w="2405" w:type="dxa"/>
            <w:vAlign w:val="center"/>
          </w:tcPr>
          <w:p>
            <w:pPr>
              <w:pStyle w:val="14"/>
              <w:tabs>
                <w:tab w:val="center" w:pos="709"/>
                <w:tab w:val="clear" w:pos="4201"/>
              </w:tabs>
              <w:snapToGrid w:val="0"/>
              <w:ind w:firstLine="0"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平台支持对学习者进行过程评价和结果评价，并记录评价数据，包括但不限于测试</w:t>
            </w:r>
            <w:r>
              <w:rPr>
                <w:color w:val="000000" w:themeColor="text1"/>
                <w:szCs w:val="21"/>
                <w14:textFill>
                  <w14:solidFill>
                    <w14:schemeClr w14:val="tx1"/>
                  </w14:solidFill>
                </w14:textFill>
              </w:rPr>
              <w:t>的结果，时长，错题分布，</w:t>
            </w:r>
            <w:r>
              <w:rPr>
                <w:rFonts w:hint="eastAsia"/>
                <w:color w:val="000000" w:themeColor="text1"/>
                <w:szCs w:val="21"/>
                <w14:textFill>
                  <w14:solidFill>
                    <w14:schemeClr w14:val="tx1"/>
                  </w14:solidFill>
                </w14:textFill>
              </w:rPr>
              <w:t>测试</w:t>
            </w:r>
            <w:r>
              <w:rPr>
                <w:color w:val="000000" w:themeColor="text1"/>
                <w:szCs w:val="21"/>
                <w14:textFill>
                  <w14:solidFill>
                    <w14:schemeClr w14:val="tx1"/>
                  </w14:solidFill>
                </w14:textFill>
              </w:rPr>
              <w:t>行为规范的信息</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4</w:t>
            </w:r>
          </w:p>
        </w:tc>
        <w:tc>
          <w:tcPr>
            <w:tcW w:w="1134" w:type="dxa"/>
            <w:vAlign w:val="center"/>
          </w:tcPr>
          <w:p>
            <w:pPr>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平台检验</w:t>
            </w:r>
          </w:p>
        </w:tc>
        <w:tc>
          <w:tcPr>
            <w:tcW w:w="2556" w:type="dxa"/>
            <w:vAlign w:val="center"/>
          </w:tcPr>
          <w:p>
            <w:pPr>
              <w:snapToGrid w:val="0"/>
              <w:jc w:val="both"/>
              <w:rPr>
                <w:rFonts w:hint="eastAsia" w:ascii="Times New Roman" w:hAnsi="Times New Roman" w:eastAsia="宋体" w:cs="Times New Roman"/>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学习过程评价以及结果评价</w:t>
            </w:r>
            <w:r>
              <w:rPr>
                <w:rFonts w:hint="eastAsia"/>
                <w:color w:val="000000" w:themeColor="text1"/>
                <w:sz w:val="21"/>
                <w:szCs w:val="21"/>
                <w14:textFill>
                  <w14:solidFill>
                    <w14:schemeClr w14:val="tx1"/>
                  </w14:solidFill>
                </w14:textFill>
              </w:rPr>
              <w:t>记录完整。</w:t>
            </w:r>
            <w:r>
              <w:rPr>
                <w:rFonts w:hint="eastAsia" w:ascii="Times New Roman" w:hAnsi="Times New Roman" w:cs="Times New Roman"/>
                <w:color w:val="000000" w:themeColor="text1"/>
                <w:sz w:val="21"/>
                <w:szCs w:val="21"/>
                <w:lang w:eastAsia="zh-CN"/>
                <w14:textFill>
                  <w14:solidFill>
                    <w14:schemeClr w14:val="tx1"/>
                  </w14:solidFill>
                </w14:textFill>
              </w:rPr>
              <w:t>（3.1～4.0分）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有</w:t>
            </w:r>
            <w:r>
              <w:rPr>
                <w:color w:val="000000" w:themeColor="text1"/>
                <w:sz w:val="21"/>
                <w:szCs w:val="21"/>
                <w14:textFill>
                  <w14:solidFill>
                    <w14:schemeClr w14:val="tx1"/>
                  </w14:solidFill>
                </w14:textFill>
              </w:rPr>
              <w:t>学习过程评价</w:t>
            </w:r>
            <w:r>
              <w:rPr>
                <w:rFonts w:hint="eastAsia"/>
                <w:color w:val="000000" w:themeColor="text1"/>
                <w:sz w:val="21"/>
                <w:szCs w:val="21"/>
                <w14:textFill>
                  <w14:solidFill>
                    <w14:schemeClr w14:val="tx1"/>
                  </w14:solidFill>
                </w14:textFill>
              </w:rPr>
              <w:t>或</w:t>
            </w:r>
            <w:r>
              <w:rPr>
                <w:color w:val="000000" w:themeColor="text1"/>
                <w:sz w:val="21"/>
                <w:szCs w:val="21"/>
                <w14:textFill>
                  <w14:solidFill>
                    <w14:schemeClr w14:val="tx1"/>
                  </w14:solidFill>
                </w14:textFill>
              </w:rPr>
              <w:t>结果评价</w:t>
            </w:r>
            <w:r>
              <w:rPr>
                <w:rFonts w:hint="eastAsia"/>
                <w:color w:val="000000" w:themeColor="text1"/>
                <w:sz w:val="21"/>
                <w:szCs w:val="21"/>
                <w14:textFill>
                  <w14:solidFill>
                    <w14:schemeClr w14:val="tx1"/>
                  </w14:solidFill>
                </w14:textFill>
              </w:rPr>
              <w:t>记录。</w:t>
            </w:r>
            <w:r>
              <w:rPr>
                <w:rFonts w:hint="eastAsia" w:ascii="Times New Roman" w:hAnsi="Times New Roman" w:cs="Times New Roman"/>
                <w:color w:val="000000" w:themeColor="text1"/>
                <w:sz w:val="2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w:t>
            </w:r>
          </w:p>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报告</w:t>
            </w:r>
          </w:p>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生成</w:t>
            </w:r>
          </w:p>
        </w:tc>
        <w:tc>
          <w:tcPr>
            <w:tcW w:w="2405" w:type="dxa"/>
            <w:vAlign w:val="center"/>
          </w:tcPr>
          <w:p>
            <w:pPr>
              <w:pStyle w:val="14"/>
              <w:tabs>
                <w:tab w:val="center" w:pos="709"/>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平台为学习者提供在平台学习活动中形成的学习记录，包括但不限于学习过程、学习结果</w:t>
            </w:r>
          </w:p>
        </w:tc>
        <w:tc>
          <w:tcPr>
            <w:tcW w:w="709" w:type="dxa"/>
            <w:vAlign w:val="center"/>
          </w:tcPr>
          <w:p>
            <w:pPr>
              <w:pStyle w:val="14"/>
              <w:tabs>
                <w:tab w:val="center" w:pos="709"/>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4</w:t>
            </w:r>
          </w:p>
        </w:tc>
        <w:tc>
          <w:tcPr>
            <w:tcW w:w="1134" w:type="dxa"/>
            <w:vAlign w:val="center"/>
          </w:tcPr>
          <w:p>
            <w:pPr>
              <w:pStyle w:val="14"/>
              <w:tabs>
                <w:tab w:val="center" w:pos="709"/>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文件审阅平台抽验</w:t>
            </w:r>
          </w:p>
        </w:tc>
        <w:tc>
          <w:tcPr>
            <w:tcW w:w="2556" w:type="dxa"/>
            <w:vAlign w:val="center"/>
          </w:tcPr>
          <w:p>
            <w:pPr>
              <w:pStyle w:val="14"/>
              <w:tabs>
                <w:tab w:val="center" w:pos="709"/>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ascii="Times New Roman"/>
                <w:color w:val="000000" w:themeColor="text1"/>
                <w:szCs w:val="21"/>
                <w14:textFill>
                  <w14:solidFill>
                    <w14:schemeClr w14:val="tx1"/>
                  </w14:solidFill>
                </w14:textFill>
              </w:rPr>
              <w:t>学习记录</w:t>
            </w:r>
            <w:r>
              <w:rPr>
                <w:rFonts w:hint="eastAsia" w:ascii="Times New Roman"/>
                <w:color w:val="000000" w:themeColor="text1"/>
                <w:szCs w:val="21"/>
                <w14:textFill>
                  <w14:solidFill>
                    <w14:schemeClr w14:val="tx1"/>
                  </w14:solidFill>
                </w14:textFill>
              </w:rPr>
              <w:t>覆盖学习者的全部学习成果。</w:t>
            </w:r>
            <w:r>
              <w:rPr>
                <w:rFonts w:hint="eastAsia" w:ascii="Times New Roman"/>
                <w:color w:val="000000" w:themeColor="text1"/>
                <w:szCs w:val="21"/>
                <w:lang w:eastAsia="zh-CN"/>
                <w14:textFill>
                  <w14:solidFill>
                    <w14:schemeClr w14:val="tx1"/>
                  </w14:solidFill>
                </w14:textFill>
              </w:rPr>
              <w:t>（3.1～4.0分）</w:t>
            </w:r>
          </w:p>
          <w:p>
            <w:pPr>
              <w:pStyle w:val="14"/>
              <w:tabs>
                <w:tab w:val="center" w:pos="709"/>
              </w:tabs>
              <w:snapToGrid w:val="0"/>
              <w:ind w:firstLine="0" w:firstLineChars="0"/>
              <w:rPr>
                <w:rFonts w:hint="eastAsia" w:ascii="Times New Roman" w:eastAsia="宋体"/>
                <w:color w:val="000000" w:themeColor="text1"/>
                <w:szCs w:val="21"/>
                <w:lang w:eastAsia="zh-CN"/>
                <w14:textFill>
                  <w14:solidFill>
                    <w14:schemeClr w14:val="tx1"/>
                  </w14:solidFill>
                </w14:textFill>
              </w:rPr>
            </w:pPr>
            <w:r>
              <w:rPr>
                <w:rFonts w:hint="eastAsia" w:ascii="Times New Roman"/>
                <w:color w:val="000000" w:themeColor="text1"/>
                <w:szCs w:val="21"/>
                <w14:textFill>
                  <w14:solidFill>
                    <w14:schemeClr w14:val="tx1"/>
                  </w14:solidFill>
                </w14:textFill>
              </w:rPr>
              <w:t>有学习者</w:t>
            </w:r>
            <w:r>
              <w:rPr>
                <w:rFonts w:ascii="Times New Roman"/>
                <w:color w:val="000000" w:themeColor="text1"/>
                <w:szCs w:val="21"/>
                <w14:textFill>
                  <w14:solidFill>
                    <w14:schemeClr w14:val="tx1"/>
                  </w14:solidFill>
                </w14:textFill>
              </w:rPr>
              <w:t>学习记录</w:t>
            </w:r>
            <w:r>
              <w:rPr>
                <w:rFonts w:hint="eastAsia" w:ascii="Times New Roman"/>
                <w:color w:val="000000" w:themeColor="text1"/>
                <w:szCs w:val="21"/>
                <w14:textFill>
                  <w14:solidFill>
                    <w14:schemeClr w14:val="tx1"/>
                  </w14:solidFill>
                </w14:textFill>
              </w:rPr>
              <w:t>。</w:t>
            </w:r>
            <w:r>
              <w:rPr>
                <w:rFonts w:hint="eastAsia" w:ascii="Times New Roman"/>
                <w:color w:val="000000" w:themeColor="text1"/>
                <w:szCs w:val="21"/>
                <w:lang w:eastAsia="zh-CN"/>
                <w14:textFill>
                  <w14:solidFill>
                    <w14:schemeClr w14:val="tx1"/>
                  </w14:solidFill>
                </w14:textFill>
              </w:rPr>
              <w:t>（0～3.0分）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学习支持（</w:t>
            </w:r>
            <w:r>
              <w:rPr>
                <w:rFonts w:ascii="Times New Roman"/>
                <w:color w:val="000000" w:themeColor="text1"/>
                <w:szCs w:val="21"/>
                <w14:textFill>
                  <w14:solidFill>
                    <w14:schemeClr w14:val="tx1"/>
                  </w14:solidFill>
                </w14:textFill>
              </w:rPr>
              <w:t>8分</w:t>
            </w:r>
            <w:r>
              <w:rPr>
                <w:rFonts w:hint="eastAsia" w:ascii="Times New Roman"/>
                <w:color w:val="000000" w:themeColor="text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查看进度</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color w:val="000000" w:themeColor="text1"/>
                <w:szCs w:val="21"/>
                <w14:textFill>
                  <w14:solidFill>
                    <w14:schemeClr w14:val="tx1"/>
                  </w14:solidFill>
                </w14:textFill>
              </w:rPr>
              <w:t>平台支持学习者查看学习进度，包括已完成课程、参与度等信息</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pStyle w:val="19"/>
              <w:numPr>
                <w:ilvl w:val="2"/>
                <w:numId w:val="0"/>
              </w:numPr>
              <w:tabs>
                <w:tab w:val="center" w:pos="709"/>
              </w:tabs>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平台检验</w:t>
            </w:r>
          </w:p>
        </w:tc>
        <w:tc>
          <w:tcPr>
            <w:tcW w:w="2556" w:type="dxa"/>
            <w:vAlign w:val="center"/>
          </w:tcPr>
          <w:p>
            <w:pPr>
              <w:snapToGrid w:val="0"/>
              <w:jc w:val="both"/>
              <w:rPr>
                <w:rFonts w:hint="eastAsia" w:ascii="Times New Roman" w:hAnsi="Times New Roman" w:eastAsia="宋体" w:cs="Times New Roman"/>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学习者</w:t>
            </w:r>
            <w:r>
              <w:rPr>
                <w:rFonts w:hint="eastAsia"/>
                <w:color w:val="000000" w:themeColor="text1"/>
                <w:sz w:val="21"/>
                <w:szCs w:val="21"/>
                <w14:textFill>
                  <w14:solidFill>
                    <w14:schemeClr w14:val="tx1"/>
                  </w14:solidFill>
                </w14:textFill>
              </w:rPr>
              <w:t>可查看完整的学</w:t>
            </w:r>
            <w:r>
              <w:rPr>
                <w:color w:val="000000" w:themeColor="text1"/>
                <w:sz w:val="21"/>
                <w:szCs w:val="21"/>
                <w14:textFill>
                  <w14:solidFill>
                    <w14:schemeClr w14:val="tx1"/>
                  </w14:solidFill>
                </w14:textFill>
              </w:rPr>
              <w:t>习进度</w:t>
            </w:r>
            <w:r>
              <w:rPr>
                <w:rFonts w:hint="eastAsia"/>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pStyle w:val="19"/>
              <w:numPr>
                <w:ilvl w:val="2"/>
                <w:numId w:val="0"/>
              </w:numPr>
              <w:tabs>
                <w:tab w:val="center" w:pos="709"/>
              </w:tabs>
              <w:snapToGrid w:val="0"/>
              <w:ind w:left="0" w:leftChars="0" w:firstLine="0" w:firstLineChars="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学习者</w:t>
            </w:r>
            <w:r>
              <w:rPr>
                <w:rFonts w:hint="eastAsia"/>
                <w:color w:val="000000" w:themeColor="text1"/>
                <w:sz w:val="21"/>
                <w:szCs w:val="21"/>
                <w14:textFill>
                  <w14:solidFill>
                    <w14:schemeClr w14:val="tx1"/>
                  </w14:solidFill>
                </w14:textFill>
              </w:rPr>
              <w:t>可查看学</w:t>
            </w:r>
            <w:r>
              <w:rPr>
                <w:color w:val="000000" w:themeColor="text1"/>
                <w:sz w:val="21"/>
                <w:szCs w:val="21"/>
                <w14:textFill>
                  <w14:solidFill>
                    <w14:schemeClr w14:val="tx1"/>
                  </w14:solidFill>
                </w14:textFill>
              </w:rPr>
              <w:t>习进度</w:t>
            </w:r>
            <w:r>
              <w:rPr>
                <w:rFonts w:hint="eastAsia"/>
                <w:color w:val="000000" w:themeColor="text1"/>
                <w:sz w:val="21"/>
                <w:szCs w:val="21"/>
                <w14:textFill>
                  <w14:solidFill>
                    <w14:schemeClr w14:val="tx1"/>
                  </w14:solidFill>
                </w14:textFill>
              </w:rPr>
              <w:t>。</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提供指南</w:t>
            </w:r>
          </w:p>
        </w:tc>
        <w:tc>
          <w:tcPr>
            <w:tcW w:w="2405" w:type="dxa"/>
            <w:vAlign w:val="center"/>
          </w:tcPr>
          <w:p>
            <w:pPr>
              <w:pStyle w:val="14"/>
              <w:snapToGrid w:val="0"/>
              <w:ind w:firstLine="0" w:firstLineChars="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平台为学习者提供所学习课程的基本信息和学习指南，方便学习者制定学习计划</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vAlign w:val="center"/>
          </w:tcPr>
          <w:p>
            <w:pPr>
              <w:pStyle w:val="19"/>
              <w:numPr>
                <w:ilvl w:val="2"/>
                <w:numId w:val="0"/>
              </w:numPr>
              <w:tabs>
                <w:tab w:val="center" w:pos="709"/>
              </w:tabs>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文件审阅平台抽验</w:t>
            </w:r>
          </w:p>
        </w:tc>
        <w:tc>
          <w:tcPr>
            <w:tcW w:w="2556" w:type="dxa"/>
            <w:vAlign w:val="center"/>
          </w:tcPr>
          <w:p>
            <w:pPr>
              <w:pStyle w:val="19"/>
              <w:numPr>
                <w:ilvl w:val="2"/>
                <w:numId w:val="0"/>
              </w:numPr>
              <w:tabs>
                <w:tab w:val="center" w:pos="709"/>
              </w:tabs>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为学习者提供详细的学习课程信息和学习指南。</w:t>
            </w:r>
            <w:r>
              <w:rPr>
                <w:rFonts w:hint="eastAsia" w:ascii="Times New Roman" w:hAnsi="Times New Roman"/>
                <w:color w:val="000000" w:themeColor="text1"/>
                <w:sz w:val="21"/>
                <w:szCs w:val="21"/>
                <w:lang w:eastAsia="zh-CN"/>
                <w14:textFill>
                  <w14:solidFill>
                    <w14:schemeClr w14:val="tx1"/>
                  </w14:solidFill>
                </w14:textFill>
              </w:rPr>
              <w:t>（1.1～2.0分）</w:t>
            </w:r>
          </w:p>
          <w:p>
            <w:pPr>
              <w:pStyle w:val="19"/>
              <w:numPr>
                <w:ilvl w:val="2"/>
                <w:numId w:val="0"/>
              </w:numPr>
              <w:tabs>
                <w:tab w:val="center" w:pos="709"/>
              </w:tabs>
              <w:snapToGrid w:val="0"/>
              <w:ind w:left="0" w:leftChars="0" w:firstLine="0" w:firstLineChars="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有学习课程信息或学习指南。</w:t>
            </w:r>
            <w:r>
              <w:rPr>
                <w:rFonts w:hint="eastAsia" w:ascii="Times New Roman" w:hAnsi="Times New Roman" w:cs="Times New Roman"/>
                <w:color w:val="000000" w:themeColor="text1"/>
                <w:sz w:val="21"/>
                <w:szCs w:val="21"/>
                <w:lang w:eastAsia="zh-CN"/>
                <w14:textFill>
                  <w14:solidFill>
                    <w14:schemeClr w14:val="tx1"/>
                  </w14:solidFill>
                </w14:textFill>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使用平台</w:t>
            </w:r>
          </w:p>
        </w:tc>
        <w:tc>
          <w:tcPr>
            <w:tcW w:w="2405" w:type="dxa"/>
            <w:vAlign w:val="center"/>
          </w:tcPr>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平台为学习者提供平台使用说明，指导学习者使用学习平台，及时解决学习活动与服务过程中的技术问题</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pStyle w:val="19"/>
              <w:numPr>
                <w:ilvl w:val="2"/>
                <w:numId w:val="0"/>
              </w:numPr>
              <w:tabs>
                <w:tab w:val="center" w:pos="709"/>
              </w:tabs>
              <w:snapToGrid w:val="0"/>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平台检验</w:t>
            </w:r>
          </w:p>
        </w:tc>
        <w:tc>
          <w:tcPr>
            <w:tcW w:w="2556" w:type="dxa"/>
            <w:vAlign w:val="center"/>
          </w:tcPr>
          <w:p>
            <w:pPr>
              <w:pStyle w:val="19"/>
              <w:numPr>
                <w:ilvl w:val="2"/>
                <w:numId w:val="0"/>
              </w:numPr>
              <w:tabs>
                <w:tab w:val="center" w:pos="709"/>
              </w:tabs>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为学习者提供详细的平台使用说明。</w:t>
            </w:r>
            <w:r>
              <w:rPr>
                <w:rFonts w:hint="eastAsia" w:ascii="Times New Roman" w:hAnsi="Times New Roman"/>
                <w:color w:val="000000" w:themeColor="text1"/>
                <w:sz w:val="21"/>
                <w:szCs w:val="21"/>
                <w:lang w:eastAsia="zh-CN"/>
                <w14:textFill>
                  <w14:solidFill>
                    <w14:schemeClr w14:val="tx1"/>
                  </w14:solidFill>
                </w14:textFill>
              </w:rPr>
              <w:t>（2.1～3.0分）</w:t>
            </w:r>
          </w:p>
          <w:p>
            <w:pPr>
              <w:pStyle w:val="19"/>
              <w:numPr>
                <w:ilvl w:val="2"/>
                <w:numId w:val="0"/>
              </w:numPr>
              <w:tabs>
                <w:tab w:val="center" w:pos="709"/>
              </w:tabs>
              <w:snapToGrid w:val="0"/>
              <w:ind w:left="0" w:leftChars="0" w:firstLine="0" w:firstLineChars="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有平台使用说明。</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04"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运营管理（</w:t>
            </w:r>
            <w:r>
              <w:rPr>
                <w:rFonts w:ascii="Times New Roman"/>
                <w:color w:val="000000" w:themeColor="text1"/>
                <w:szCs w:val="21"/>
                <w14:textFill>
                  <w14:solidFill>
                    <w14:schemeClr w14:val="tx1"/>
                  </w14:solidFill>
                </w14:textFill>
              </w:rPr>
              <w:t>15分</w:t>
            </w:r>
            <w:r>
              <w:rPr>
                <w:rFonts w:hint="eastAsia" w:ascii="Times New Roman"/>
                <w:color w:val="000000" w:themeColor="text1"/>
                <w:szCs w:val="21"/>
                <w14:textFill>
                  <w14:solidFill>
                    <w14:schemeClr w14:val="tx1"/>
                  </w14:solidFill>
                </w14:textFill>
              </w:rPr>
              <w:t>）</w:t>
            </w: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平台运维（</w:t>
            </w:r>
            <w:r>
              <w:rPr>
                <w:rFonts w:ascii="Times New Roman"/>
                <w:color w:val="000000" w:themeColor="text1"/>
                <w:szCs w:val="21"/>
                <w14:textFill>
                  <w14:solidFill>
                    <w14:schemeClr w14:val="tx1"/>
                  </w14:solidFill>
                </w14:textFill>
              </w:rPr>
              <w:t>5</w:t>
            </w:r>
            <w:r>
              <w:rPr>
                <w:rFonts w:hint="eastAsia" w:ascii="Times New Roman"/>
                <w:color w:val="000000" w:themeColor="text1"/>
                <w:szCs w:val="21"/>
                <w14:textFill>
                  <w14:solidFill>
                    <w14:schemeClr w14:val="tx1"/>
                  </w14:solidFill>
                </w14:textFill>
              </w:rPr>
              <w:t>分）</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人员资质与数量</w:t>
            </w:r>
          </w:p>
        </w:tc>
        <w:tc>
          <w:tcPr>
            <w:tcW w:w="2405" w:type="dxa"/>
            <w:vAlign w:val="center"/>
          </w:tcPr>
          <w:p>
            <w:pPr>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平台根据服务对象的数量配备人数适宜、结构合理的运维团队，成员具备专业知识和技能</w:t>
            </w:r>
          </w:p>
        </w:tc>
        <w:tc>
          <w:tcPr>
            <w:tcW w:w="709" w:type="dxa"/>
            <w:vAlign w:val="center"/>
          </w:tcPr>
          <w:p>
            <w:pPr>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w:t>
            </w:r>
          </w:p>
        </w:tc>
        <w:tc>
          <w:tcPr>
            <w:tcW w:w="2556" w:type="dxa"/>
            <w:vAlign w:val="center"/>
          </w:tcPr>
          <w:p>
            <w:pPr>
              <w:pStyle w:val="19"/>
              <w:numPr>
                <w:ilvl w:val="2"/>
                <w:numId w:val="0"/>
              </w:numPr>
              <w:tabs>
                <w:tab w:val="center" w:pos="709"/>
              </w:tabs>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平台运维团队岗位结构合理、人员数量及资质充分。</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平台运维团队岗位结构基本合理、人员数量及资质不够充分。</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工作职责与制度</w:t>
            </w:r>
          </w:p>
        </w:tc>
        <w:tc>
          <w:tcPr>
            <w:tcW w:w="2405" w:type="dxa"/>
            <w:vAlign w:val="center"/>
          </w:tcPr>
          <w:p>
            <w:pPr>
              <w:pStyle w:val="19"/>
              <w:numPr>
                <w:ilvl w:val="2"/>
                <w:numId w:val="0"/>
              </w:numPr>
              <w:tabs>
                <w:tab w:val="center" w:pos="709"/>
              </w:tabs>
              <w:snapToGrid w:val="0"/>
              <w:jc w:val="both"/>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运维服务团队及时发现和解决平台系统运行问题，降低故障发生的概率，确保业务的连续性</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平台运维制度、运维工作流程能保障平台的正常稳定运行。</w:t>
            </w:r>
            <w:r>
              <w:rPr>
                <w:rFonts w:hint="eastAsia" w:ascii="Times New Roman" w:hAnsi="Times New Roman"/>
                <w:color w:val="000000" w:themeColor="text1"/>
                <w:sz w:val="21"/>
                <w:szCs w:val="21"/>
                <w:lang w:eastAsia="zh-CN"/>
                <w14:textFill>
                  <w14:solidFill>
                    <w14:schemeClr w14:val="tx1"/>
                  </w14:solidFill>
                </w14:textFill>
              </w:rPr>
              <w:t>（1.1～2.0分）</w:t>
            </w:r>
          </w:p>
          <w:p>
            <w:pPr>
              <w:pStyle w:val="19"/>
              <w:numPr>
                <w:ilvl w:val="2"/>
                <w:numId w:val="0"/>
              </w:numPr>
              <w:tabs>
                <w:tab w:val="center" w:pos="709"/>
              </w:tabs>
              <w:snapToGrid w:val="0"/>
              <w:ind w:left="0" w:leftChars="0" w:firstLine="0" w:firstLineChars="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平台运维制度、运维工作流程在保障平台的正常稳定运行方面不够充分。</w:t>
            </w:r>
            <w:r>
              <w:rPr>
                <w:rFonts w:hint="eastAsia" w:ascii="Times New Roman" w:hAnsi="Times New Roman" w:cs="Times New Roman"/>
                <w:color w:val="000000" w:themeColor="text1"/>
                <w:sz w:val="21"/>
                <w:szCs w:val="21"/>
                <w:lang w:eastAsia="zh-CN"/>
                <w14:textFill>
                  <w14:solidFill>
                    <w14:schemeClr w14:val="tx1"/>
                  </w14:solidFill>
                </w14:textFill>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客服服务（</w:t>
            </w:r>
            <w:r>
              <w:rPr>
                <w:rFonts w:ascii="Times New Roman"/>
                <w:color w:val="000000" w:themeColor="text1"/>
                <w:szCs w:val="21"/>
                <w14:textFill>
                  <w14:solidFill>
                    <w14:schemeClr w14:val="tx1"/>
                  </w14:solidFill>
                </w14:textFill>
              </w:rPr>
              <w:t>5分</w:t>
            </w:r>
            <w:r>
              <w:rPr>
                <w:rFonts w:hint="eastAsia" w:ascii="Times New Roman"/>
                <w:color w:val="000000" w:themeColor="text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人员资质与数量</w:t>
            </w:r>
          </w:p>
        </w:tc>
        <w:tc>
          <w:tcPr>
            <w:tcW w:w="2405" w:type="dxa"/>
            <w:vAlign w:val="center"/>
          </w:tcPr>
          <w:p>
            <w:pPr>
              <w:pStyle w:val="19"/>
              <w:numPr>
                <w:ilvl w:val="2"/>
                <w:numId w:val="0"/>
              </w:numPr>
              <w:tabs>
                <w:tab w:val="center" w:pos="709"/>
              </w:tabs>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平台根据服务对象的数量配备人数适宜、结构合理的客服团队，成员具备专业知识和技能</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3</w:t>
            </w:r>
          </w:p>
        </w:tc>
        <w:tc>
          <w:tcPr>
            <w:tcW w:w="1134" w:type="dxa"/>
            <w:vAlign w:val="center"/>
          </w:tcPr>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w:t>
            </w:r>
          </w:p>
        </w:tc>
        <w:tc>
          <w:tcPr>
            <w:tcW w:w="2556" w:type="dxa"/>
            <w:vAlign w:val="center"/>
          </w:tcPr>
          <w:p>
            <w:pPr>
              <w:pStyle w:val="19"/>
              <w:numPr>
                <w:ilvl w:val="2"/>
                <w:numId w:val="0"/>
              </w:numPr>
              <w:tabs>
                <w:tab w:val="center" w:pos="709"/>
              </w:tabs>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平台客服团队岗位结构合理、人员数量及资质充分。</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平台客服团队岗位结构基本、人员数量及资质不够充分。</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工作职责与制度</w:t>
            </w:r>
          </w:p>
        </w:tc>
        <w:tc>
          <w:tcPr>
            <w:tcW w:w="2405" w:type="dxa"/>
            <w:vAlign w:val="center"/>
          </w:tcPr>
          <w:p>
            <w:pPr>
              <w:pStyle w:val="19"/>
              <w:numPr>
                <w:ilvl w:val="2"/>
                <w:numId w:val="0"/>
              </w:numPr>
              <w:tabs>
                <w:tab w:val="center" w:pos="709"/>
              </w:tabs>
              <w:snapToGrid w:val="0"/>
              <w:jc w:val="both"/>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平台</w:t>
            </w:r>
            <w:r>
              <w:rPr>
                <w:color w:val="000000" w:themeColor="text1"/>
                <w:sz w:val="21"/>
                <w:szCs w:val="21"/>
                <w14:textFill>
                  <w14:solidFill>
                    <w14:schemeClr w14:val="tx1"/>
                  </w14:solidFill>
                </w14:textFill>
              </w:rPr>
              <w:t>提供电话、网络投诉渠道并保证渠道畅通，及时处理客户反馈问题</w:t>
            </w:r>
            <w:r>
              <w:rPr>
                <w:rFonts w:hint="eastAsia"/>
                <w:color w:val="000000" w:themeColor="text1"/>
                <w:sz w:val="21"/>
                <w:szCs w:val="21"/>
                <w14:textFill>
                  <w14:solidFill>
                    <w14:schemeClr w14:val="tx1"/>
                  </w14:solidFill>
                </w14:textFill>
              </w:rPr>
              <w:t>，</w:t>
            </w:r>
            <w:r>
              <w:rPr>
                <w:color w:val="000000" w:themeColor="text1"/>
                <w:sz w:val="21"/>
                <w:szCs w:val="21"/>
                <w14:textFill>
                  <w14:solidFill>
                    <w14:schemeClr w14:val="tx1"/>
                  </w14:solidFill>
                </w14:textFill>
              </w:rPr>
              <w:t>并建立沟通管理机制，明确反馈时限，按时答复、安排处理服务对象诉求</w:t>
            </w:r>
          </w:p>
        </w:tc>
        <w:tc>
          <w:tcPr>
            <w:tcW w:w="709" w:type="dxa"/>
            <w:vAlign w:val="center"/>
          </w:tcPr>
          <w:p>
            <w:pPr>
              <w:pStyle w:val="19"/>
              <w:numPr>
                <w:ilvl w:val="2"/>
                <w:numId w:val="0"/>
              </w:numPr>
              <w:tabs>
                <w:tab w:val="center" w:pos="709"/>
              </w:tabs>
              <w:snapToGrid w:val="0"/>
              <w:jc w:val="center"/>
              <w:rPr>
                <w:rFonts w:ascii="Times New Roman" w:hAnsi="Times New Roman" w:cs="Times New Roman"/>
                <w:color w:val="000000" w:themeColor="text1"/>
                <w:sz w:val="21"/>
                <w:szCs w:val="21"/>
                <w14:textFill>
                  <w14:solidFill>
                    <w14:schemeClr w14:val="tx1"/>
                  </w14:solidFill>
                </w14:textFill>
              </w:rPr>
            </w:pPr>
            <w:r>
              <w:rPr>
                <w:rFonts w:ascii="Times New Roman" w:hAnsi="Times New Roman" w:cs="Times New Roman"/>
                <w:color w:val="000000" w:themeColor="text1"/>
                <w:sz w:val="21"/>
                <w:szCs w:val="21"/>
                <w14:textFill>
                  <w14:solidFill>
                    <w14:schemeClr w14:val="tx1"/>
                  </w14:solidFill>
                </w14:textFill>
              </w:rPr>
              <w:t>2</w:t>
            </w:r>
          </w:p>
        </w:tc>
        <w:tc>
          <w:tcPr>
            <w:tcW w:w="1134" w:type="dxa"/>
            <w:vAlign w:val="center"/>
          </w:tcPr>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文件审阅平台抽检</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平台客服制度、客服工作流程能保障平台的咨询、投诉、反馈问题得到及时妥善处理。</w:t>
            </w:r>
            <w:r>
              <w:rPr>
                <w:rFonts w:hint="eastAsia" w:ascii="Times New Roman" w:hAnsi="Times New Roman"/>
                <w:color w:val="000000" w:themeColor="text1"/>
                <w:sz w:val="21"/>
                <w:szCs w:val="21"/>
                <w:lang w:eastAsia="zh-CN"/>
                <w14:textFill>
                  <w14:solidFill>
                    <w14:schemeClr w14:val="tx1"/>
                  </w14:solidFill>
                </w14:textFill>
              </w:rPr>
              <w:t>（1.1～2.0分）</w:t>
            </w:r>
          </w:p>
          <w:p>
            <w:pPr>
              <w:snapToGrid w:val="0"/>
              <w:jc w:val="both"/>
              <w:rPr>
                <w:rFonts w:hint="eastAsia" w:eastAsia="宋体"/>
                <w:color w:val="000000" w:themeColor="text1"/>
                <w:sz w:val="21"/>
                <w:szCs w:val="21"/>
                <w:lang w:eastAsia="zh-CN"/>
                <w14:textFill>
                  <w14:solidFill>
                    <w14:schemeClr w14:val="tx1"/>
                  </w14:solidFill>
                </w14:textFill>
              </w:rPr>
            </w:pPr>
            <w:r>
              <w:rPr>
                <w:rFonts w:hint="eastAsia"/>
                <w:color w:val="000000" w:themeColor="text1"/>
                <w:sz w:val="21"/>
                <w:szCs w:val="21"/>
                <w14:textFill>
                  <w14:solidFill>
                    <w14:schemeClr w14:val="tx1"/>
                  </w14:solidFill>
                </w14:textFill>
              </w:rPr>
              <w:t>平台客服制度、客服工作流程在保障平台的咨询、投诉、反馈问题得到及时妥善处理方面不充分。</w:t>
            </w:r>
            <w:r>
              <w:rPr>
                <w:rFonts w:hint="eastAsia" w:ascii="Times New Roman" w:hAnsi="Times New Roman" w:cs="Times New Roman"/>
                <w:color w:val="000000" w:themeColor="text1"/>
                <w:sz w:val="21"/>
                <w:szCs w:val="21"/>
                <w:lang w:eastAsia="zh-CN"/>
                <w14:textFill>
                  <w14:solidFill>
                    <w14:schemeClr w14:val="tx1"/>
                  </w14:solidFill>
                </w14:textFill>
              </w:rPr>
              <w:t>（0～1.0分）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restart"/>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平台管理（</w:t>
            </w:r>
            <w:r>
              <w:rPr>
                <w:rFonts w:ascii="Times New Roman"/>
                <w:color w:val="000000" w:themeColor="text1"/>
                <w:szCs w:val="21"/>
                <w14:textFill>
                  <w14:solidFill>
                    <w14:schemeClr w14:val="tx1"/>
                  </w14:solidFill>
                </w14:textFill>
              </w:rPr>
              <w:t>5分</w:t>
            </w:r>
            <w:r>
              <w:rPr>
                <w:rFonts w:hint="eastAsia" w:ascii="Times New Roman"/>
                <w:color w:val="000000" w:themeColor="text1"/>
                <w:szCs w:val="21"/>
                <w14:textFill>
                  <w14:solidFill>
                    <w14:schemeClr w14:val="tx1"/>
                  </w14:solidFill>
                </w14:textFill>
              </w:rPr>
              <w:t>）</w:t>
            </w: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部门设置与制度</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平台运营机构内设部门组织结构科学、职责明确、人员配置合理，有完善可行的员工管理制度</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3</w:t>
            </w:r>
          </w:p>
        </w:tc>
        <w:tc>
          <w:tcPr>
            <w:tcW w:w="1134"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w:t>
            </w:r>
            <w:r>
              <w:rPr>
                <w:rFonts w:hint="eastAsia"/>
                <w:color w:val="000000" w:themeColor="text1"/>
                <w:sz w:val="21"/>
                <w:szCs w:val="21"/>
                <w14:textFill>
                  <w14:solidFill>
                    <w14:schemeClr w14:val="tx1"/>
                  </w14:solidFill>
                </w14:textFill>
              </w:rPr>
              <w:t>内设部门组织结构科学、人员数量及资质充分、平台管理制度健全、管理流程能保障平台运转正常、员工高效。</w:t>
            </w:r>
            <w:r>
              <w:rPr>
                <w:rFonts w:hint="eastAsia" w:ascii="Times New Roman" w:hAnsi="Times New Roman" w:cs="Times New Roman"/>
                <w:color w:val="000000" w:themeColor="text1"/>
                <w:sz w:val="21"/>
                <w:szCs w:val="21"/>
                <w:lang w:eastAsia="zh-CN"/>
                <w14:textFill>
                  <w14:solidFill>
                    <w14:schemeClr w14:val="tx1"/>
                  </w14:solidFill>
                </w14:textFill>
              </w:rPr>
              <w:t>（2.1～3.0分）</w:t>
            </w:r>
          </w:p>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平台运营机构</w:t>
            </w:r>
            <w:r>
              <w:rPr>
                <w:rFonts w:hint="eastAsia"/>
                <w:color w:val="000000" w:themeColor="text1"/>
                <w:sz w:val="21"/>
                <w:szCs w:val="21"/>
                <w14:textFill>
                  <w14:solidFill>
                    <w14:schemeClr w14:val="tx1"/>
                  </w14:solidFill>
                </w14:textFill>
              </w:rPr>
              <w:t>内设部门组织结构不够科学、人员数量及资质不够充分，平台管理制度、管理流程在保障平台运转正常、员工高效方面不充分。</w:t>
            </w:r>
            <w:r>
              <w:rPr>
                <w:rFonts w:hint="eastAsia" w:ascii="Times New Roman" w:hAnsi="Times New Roman" w:cs="Times New Roman"/>
                <w:color w:val="000000" w:themeColor="text1"/>
                <w:sz w:val="21"/>
                <w:szCs w:val="21"/>
                <w:lang w:eastAsia="zh-CN"/>
                <w14:textFill>
                  <w14:solidFill>
                    <w14:schemeClr w14:val="tx1"/>
                  </w14:solidFill>
                </w14:textFill>
              </w:rPr>
              <w:t>（0～2.0分）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13" w:type="dxa"/>
            <w:vMerge w:val="continue"/>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p>
        </w:tc>
        <w:tc>
          <w:tcPr>
            <w:tcW w:w="709" w:type="dxa"/>
            <w:vAlign w:val="center"/>
          </w:tcPr>
          <w:p>
            <w:pPr>
              <w:pStyle w:val="14"/>
              <w:tabs>
                <w:tab w:val="center" w:pos="344"/>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hint="eastAsia" w:ascii="Times New Roman"/>
                <w:color w:val="000000" w:themeColor="text1"/>
                <w:szCs w:val="21"/>
                <w14:textFill>
                  <w14:solidFill>
                    <w14:schemeClr w14:val="tx1"/>
                  </w14:solidFill>
                </w14:textFill>
              </w:rPr>
              <w:t>监督机制</w:t>
            </w:r>
          </w:p>
        </w:tc>
        <w:tc>
          <w:tcPr>
            <w:tcW w:w="2405" w:type="dxa"/>
            <w:vAlign w:val="center"/>
          </w:tcPr>
          <w:p>
            <w:pPr>
              <w:pStyle w:val="14"/>
              <w:tabs>
                <w:tab w:val="center" w:pos="709"/>
                <w:tab w:val="clear" w:pos="4201"/>
              </w:tabs>
              <w:snapToGrid w:val="0"/>
              <w:ind w:firstLine="0" w:firstLineChars="0"/>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平台运营机构建立平台服务监督机制。设置服务公示版块，内容包括但不限于服务内容、服务依据、服务流程、服务要求、投诉渠道。实施内部监督和审核，同时接受外部监督，设置监督意见反馈表，会议审核记录等，根据监督和审核结果，实施纠正和预防措施</w:t>
            </w:r>
          </w:p>
        </w:tc>
        <w:tc>
          <w:tcPr>
            <w:tcW w:w="709" w:type="dxa"/>
            <w:vAlign w:val="center"/>
          </w:tcPr>
          <w:p>
            <w:pPr>
              <w:pStyle w:val="14"/>
              <w:tabs>
                <w:tab w:val="center" w:pos="709"/>
                <w:tab w:val="clear" w:pos="4201"/>
              </w:tabs>
              <w:snapToGrid w:val="0"/>
              <w:ind w:firstLine="0" w:firstLineChars="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2</w:t>
            </w:r>
          </w:p>
        </w:tc>
        <w:tc>
          <w:tcPr>
            <w:tcW w:w="1134" w:type="dxa"/>
            <w:vAlign w:val="center"/>
          </w:tcPr>
          <w:p>
            <w:pPr>
              <w:pStyle w:val="14"/>
              <w:tabs>
                <w:tab w:val="center" w:pos="344"/>
                <w:tab w:val="clear" w:pos="4201"/>
              </w:tabs>
              <w:snapToGrid w:val="0"/>
              <w:ind w:firstLine="0" w:firstLineChars="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文件审阅</w:t>
            </w:r>
          </w:p>
        </w:tc>
        <w:tc>
          <w:tcPr>
            <w:tcW w:w="2556" w:type="dxa"/>
            <w:vAlign w:val="center"/>
          </w:tcPr>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平台服务监督机制</w:t>
            </w:r>
            <w:r>
              <w:rPr>
                <w:rFonts w:hint="eastAsia"/>
                <w:color w:val="000000" w:themeColor="text1"/>
                <w:sz w:val="21"/>
                <w:szCs w:val="21"/>
                <w14:textFill>
                  <w14:solidFill>
                    <w14:schemeClr w14:val="tx1"/>
                  </w14:solidFill>
                </w14:textFill>
              </w:rPr>
              <w:t>有效。服务公示版块内容完备；内部监督和审核及外部监督落实到位。</w:t>
            </w:r>
            <w:r>
              <w:rPr>
                <w:rFonts w:hint="eastAsia" w:ascii="Times New Roman" w:hAnsi="Times New Roman"/>
                <w:color w:val="000000" w:themeColor="text1"/>
                <w:sz w:val="21"/>
                <w:szCs w:val="21"/>
                <w:lang w:eastAsia="zh-CN"/>
                <w14:textFill>
                  <w14:solidFill>
                    <w14:schemeClr w14:val="tx1"/>
                  </w14:solidFill>
                </w14:textFill>
              </w:rPr>
              <w:t>（1.1～2.0分）</w:t>
            </w:r>
          </w:p>
          <w:p>
            <w:pPr>
              <w:snapToGrid w:val="0"/>
              <w:jc w:val="both"/>
              <w:rPr>
                <w:rFonts w:hint="eastAsia" w:eastAsia="宋体"/>
                <w:color w:val="000000" w:themeColor="text1"/>
                <w:sz w:val="21"/>
                <w:szCs w:val="21"/>
                <w:lang w:eastAsia="zh-CN"/>
                <w14:textFill>
                  <w14:solidFill>
                    <w14:schemeClr w14:val="tx1"/>
                  </w14:solidFill>
                </w14:textFill>
              </w:rPr>
            </w:pPr>
            <w:r>
              <w:rPr>
                <w:color w:val="000000" w:themeColor="text1"/>
                <w:sz w:val="21"/>
                <w:szCs w:val="21"/>
                <w14:textFill>
                  <w14:solidFill>
                    <w14:schemeClr w14:val="tx1"/>
                  </w14:solidFill>
                </w14:textFill>
              </w:rPr>
              <w:t>平台服务监督机制</w:t>
            </w:r>
            <w:r>
              <w:rPr>
                <w:rFonts w:hint="eastAsia"/>
                <w:color w:val="000000" w:themeColor="text1"/>
                <w:sz w:val="21"/>
                <w:szCs w:val="21"/>
                <w14:textFill>
                  <w14:solidFill>
                    <w14:schemeClr w14:val="tx1"/>
                  </w14:solidFill>
                </w14:textFill>
              </w:rPr>
              <w:t>运行效果一般，服务公示版块内容不够完备；内部监督和审核及外部监督落实不够到位。</w:t>
            </w:r>
            <w:r>
              <w:rPr>
                <w:rFonts w:hint="eastAsia" w:ascii="Times New Roman" w:hAnsi="Times New Roman"/>
                <w:color w:val="000000" w:themeColor="text1"/>
                <w:sz w:val="21"/>
                <w:szCs w:val="21"/>
                <w:lang w:eastAsia="zh-CN"/>
                <w14:textFill>
                  <w14:solidFill>
                    <w14:schemeClr w14:val="tx1"/>
                  </w14:solidFill>
                </w14:textFill>
              </w:rPr>
              <w:t>（0～1.0分）</w:t>
            </w:r>
          </w:p>
        </w:tc>
      </w:tr>
    </w:tbl>
    <w:p>
      <w:pPr>
        <w:pStyle w:val="14"/>
        <w:spacing w:after="163" w:afterLines="50"/>
        <w:rPr>
          <w:color w:val="000000" w:themeColor="text1"/>
          <w14:textFill>
            <w14:solidFill>
              <w14:schemeClr w14:val="tx1"/>
            </w14:solidFill>
          </w14:textFill>
        </w:rPr>
      </w:pPr>
    </w:p>
    <w:p>
      <w:pPr>
        <w:pStyle w:val="14"/>
        <w:spacing w:after="163" w:afterLines="50"/>
        <w:rPr>
          <w:color w:val="000000" w:themeColor="text1"/>
          <w14:textFill>
            <w14:solidFill>
              <w14:schemeClr w14:val="tx1"/>
            </w14:solidFill>
          </w14:textFill>
        </w:rPr>
      </w:pPr>
      <w:r>
        <w:rPr>
          <w:rFonts w:hint="eastAsia"/>
          <w:color w:val="000000" w:themeColor="text1"/>
          <w14:textFill>
            <w14:solidFill>
              <w14:schemeClr w14:val="tx1"/>
            </w14:solidFill>
          </w14:textFill>
        </w:rPr>
        <w:t>说明：平台运营服务质量评估</w:t>
      </w:r>
      <w:r>
        <w:rPr>
          <w:color w:val="000000" w:themeColor="text1"/>
          <w14:textFill>
            <w14:solidFill>
              <w14:schemeClr w14:val="tx1"/>
            </w14:solidFill>
          </w14:textFill>
        </w:rPr>
        <w:t>指标体系由三级指标及其</w:t>
      </w:r>
      <w:r>
        <w:rPr>
          <w:rFonts w:hint="eastAsia"/>
          <w:color w:val="000000" w:themeColor="text1"/>
          <w14:textFill>
            <w14:solidFill>
              <w14:schemeClr w14:val="tx1"/>
            </w14:solidFill>
          </w14:textFill>
        </w:rPr>
        <w:t>内容要求</w:t>
      </w:r>
      <w:r>
        <w:rPr>
          <w:color w:val="000000" w:themeColor="text1"/>
          <w14:textFill>
            <w14:solidFill>
              <w14:schemeClr w14:val="tx1"/>
            </w14:solidFill>
          </w14:textFill>
        </w:rPr>
        <w:t>构成。</w:t>
      </w:r>
      <w:r>
        <w:rPr>
          <w:rFonts w:hint="eastAsia"/>
          <w:color w:val="000000" w:themeColor="text1"/>
          <w14:textFill>
            <w14:solidFill>
              <w14:schemeClr w14:val="tx1"/>
            </w14:solidFill>
          </w14:textFill>
        </w:rPr>
        <w:t>评估</w:t>
      </w:r>
      <w:r>
        <w:rPr>
          <w:color w:val="000000" w:themeColor="text1"/>
          <w14:textFill>
            <w14:solidFill>
              <w14:schemeClr w14:val="tx1"/>
            </w14:solidFill>
          </w14:textFill>
        </w:rPr>
        <w:t>指标体系设有</w:t>
      </w:r>
      <w:r>
        <w:rPr>
          <w:rFonts w:hint="eastAsia" w:ascii="Times New Roman"/>
          <w:color w:val="000000" w:themeColor="text1"/>
          <w14:textFill>
            <w14:solidFill>
              <w14:schemeClr w14:val="tx1"/>
            </w14:solidFill>
          </w14:textFill>
        </w:rPr>
        <w:t>4</w:t>
      </w:r>
      <w:r>
        <w:rPr>
          <w:color w:val="000000" w:themeColor="text1"/>
          <w14:textFill>
            <w14:solidFill>
              <w14:schemeClr w14:val="tx1"/>
            </w14:solidFill>
          </w14:textFill>
        </w:rPr>
        <w:t>项一级指标，分别为</w:t>
      </w:r>
      <w:r>
        <w:rPr>
          <w:rFonts w:hint="eastAsia"/>
          <w:color w:val="000000" w:themeColor="text1"/>
          <w14:textFill>
            <w14:solidFill>
              <w14:schemeClr w14:val="tx1"/>
            </w14:solidFill>
          </w14:textFill>
        </w:rPr>
        <w:t>基本要求</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培训管理</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学习服务</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运营管理</w:t>
      </w:r>
      <w:r>
        <w:rPr>
          <w:color w:val="000000" w:themeColor="text1"/>
          <w14:textFill>
            <w14:solidFill>
              <w14:schemeClr w14:val="tx1"/>
            </w14:solidFill>
          </w14:textFill>
        </w:rPr>
        <w:t>，二级指标</w:t>
      </w:r>
      <w:r>
        <w:rPr>
          <w:rFonts w:hint="eastAsia" w:ascii="Times New Roman"/>
          <w:color w:val="000000" w:themeColor="text1"/>
          <w14:textFill>
            <w14:solidFill>
              <w14:schemeClr w14:val="tx1"/>
            </w14:solidFill>
          </w14:textFill>
        </w:rPr>
        <w:t>1</w:t>
      </w:r>
      <w:r>
        <w:rPr>
          <w:rFonts w:ascii="Times New Roman"/>
          <w:color w:val="000000" w:themeColor="text1"/>
          <w14:textFill>
            <w14:solidFill>
              <w14:schemeClr w14:val="tx1"/>
            </w14:solidFill>
          </w14:textFill>
        </w:rPr>
        <w:t>1</w:t>
      </w:r>
      <w:r>
        <w:rPr>
          <w:color w:val="000000" w:themeColor="text1"/>
          <w14:textFill>
            <w14:solidFill>
              <w14:schemeClr w14:val="tx1"/>
            </w14:solidFill>
          </w14:textFill>
        </w:rPr>
        <w:t>项和三级指标</w:t>
      </w:r>
      <w:r>
        <w:rPr>
          <w:rFonts w:ascii="Times New Roman"/>
          <w:color w:val="000000" w:themeColor="text1"/>
          <w14:textFill>
            <w14:solidFill>
              <w14:schemeClr w14:val="tx1"/>
            </w14:solidFill>
          </w14:textFill>
        </w:rPr>
        <w:t>31</w:t>
      </w:r>
      <w:r>
        <w:rPr>
          <w:color w:val="000000" w:themeColor="text1"/>
          <w14:textFill>
            <w14:solidFill>
              <w14:schemeClr w14:val="tx1"/>
            </w14:solidFill>
          </w14:textFill>
        </w:rPr>
        <w:t>项。</w:t>
      </w:r>
      <w:r>
        <w:rPr>
          <w:rFonts w:hint="eastAsia"/>
          <w:color w:val="000000" w:themeColor="text1"/>
          <w14:textFill>
            <w14:solidFill>
              <w14:schemeClr w14:val="tx1"/>
            </w14:solidFill>
          </w14:textFill>
        </w:rPr>
        <w:t>评估总分为</w:t>
      </w:r>
      <w:r>
        <w:rPr>
          <w:rFonts w:hint="eastAsia" w:ascii="Times New Roman"/>
          <w:color w:val="000000" w:themeColor="text1"/>
          <w14:textFill>
            <w14:solidFill>
              <w14:schemeClr w14:val="tx1"/>
            </w14:solidFill>
          </w14:textFill>
        </w:rPr>
        <w:t>1</w:t>
      </w:r>
      <w:r>
        <w:rPr>
          <w:rFonts w:ascii="Times New Roman"/>
          <w:color w:val="000000" w:themeColor="text1"/>
          <w14:textFill>
            <w14:solidFill>
              <w14:schemeClr w14:val="tx1"/>
            </w14:solidFill>
          </w14:textFill>
        </w:rPr>
        <w:t>00</w:t>
      </w:r>
      <w:r>
        <w:rPr>
          <w:rFonts w:hint="eastAsia"/>
          <w:color w:val="000000" w:themeColor="text1"/>
          <w14:textFill>
            <w14:solidFill>
              <w14:schemeClr w14:val="tx1"/>
            </w14:solidFill>
          </w14:textFill>
        </w:rPr>
        <w:t>分。各地可根据实际情况，采用分数梯度的方法划分平台等级。各地开展平台遴选、评估时可参考以上评分规则，也可根据实际情况调整各指标分数权重。</w:t>
      </w:r>
    </w:p>
    <w:p>
      <w:pPr>
        <w:pStyle w:val="14"/>
        <w:spacing w:after="163" w:afterLines="50"/>
        <w:rPr>
          <w:color w:val="000000" w:themeColor="text1"/>
          <w14:textFill>
            <w14:solidFill>
              <w14:schemeClr w14:val="tx1"/>
            </w14:solidFill>
          </w14:textFill>
        </w:rPr>
      </w:pPr>
    </w:p>
    <w:p>
      <w:pPr>
        <w:pStyle w:val="14"/>
        <w:spacing w:after="163" w:afterLines="50"/>
        <w:rPr>
          <w:color w:val="000000" w:themeColor="text1"/>
          <w14:textFill>
            <w14:solidFill>
              <w14:schemeClr w14:val="tx1"/>
            </w14:solidFill>
          </w14:textFill>
        </w:rPr>
      </w:pPr>
    </w:p>
    <w:p>
      <w:pPr>
        <w:rPr>
          <w:rFonts w:hint="eastAsia" w:ascii="仿宋" w:hAnsi="仿宋" w:eastAsia="仿宋" w:cs="仿宋"/>
          <w:sz w:val="32"/>
          <w:szCs w:val="22"/>
          <w:lang w:val="en-US" w:eastAsia="zh-CN"/>
        </w:rPr>
      </w:pPr>
    </w:p>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0D8692D7-995C-49A3-952F-D07F7B96FE7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7BD7FAFA-BF40-40A0-8256-B8E39C86522A}"/>
  </w:font>
  <w:font w:name="仿宋">
    <w:panose1 w:val="02010609060101010101"/>
    <w:charset w:val="86"/>
    <w:family w:val="auto"/>
    <w:pitch w:val="default"/>
    <w:sig w:usb0="800002BF" w:usb1="38CF7CFA" w:usb2="00000016" w:usb3="00000000" w:csb0="00040001" w:csb1="00000000"/>
    <w:embedRegular r:id="rId3" w:fontKey="{A86FBADD-F717-417D-AB50-01E126569E18}"/>
  </w:font>
  <w:font w:name="仿宋_GB2312">
    <w:panose1 w:val="02010609030101010101"/>
    <w:charset w:val="86"/>
    <w:family w:val="auto"/>
    <w:pitch w:val="default"/>
    <w:sig w:usb0="00000001" w:usb1="080E0000" w:usb2="00000000" w:usb3="00000000" w:csb0="00040000" w:csb1="00000000"/>
    <w:embedRegular r:id="rId4" w:fontKey="{658AA1B2-D315-4C12-94B4-A2A28D68B1E3}"/>
  </w:font>
  <w:font w:name="华文中宋">
    <w:panose1 w:val="02010600040101010101"/>
    <w:charset w:val="86"/>
    <w:family w:val="auto"/>
    <w:pitch w:val="default"/>
    <w:sig w:usb0="00000287" w:usb1="080F0000" w:usb2="00000000" w:usb3="00000000" w:csb0="0004009F" w:csb1="DFD70000"/>
    <w:embedRegular r:id="rId5" w:fontKey="{BE5E129E-34F8-4CE2-9775-F5ECD93327B1}"/>
  </w:font>
  <w:font w:name="楷体_GB2312">
    <w:panose1 w:val="02010609030101010101"/>
    <w:charset w:val="86"/>
    <w:family w:val="modern"/>
    <w:pitch w:val="default"/>
    <w:sig w:usb0="00000001" w:usb1="080E0000" w:usb2="00000000" w:usb3="00000000" w:csb0="00040000" w:csb1="00000000"/>
    <w:embedRegular r:id="rId6" w:fontKey="{670C0BC8-F465-47F8-BD92-1F61EE79CC49}"/>
  </w:font>
  <w:font w:name="MS Mincho">
    <w:panose1 w:val="02020609040205080304"/>
    <w:charset w:val="80"/>
    <w:family w:val="modern"/>
    <w:pitch w:val="default"/>
    <w:sig w:usb0="E00002FF" w:usb1="6AC7FDFB" w:usb2="00000012" w:usb3="00000000" w:csb0="4002009F" w:csb1="DFD70000"/>
  </w:font>
  <w:font w:name="Verdana">
    <w:panose1 w:val="020B0604030504040204"/>
    <w:charset w:val="00"/>
    <w:family w:val="swiss"/>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2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240"/>
      <w:jc w:val="left"/>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jc w:val="right"/>
                          </w:pPr>
                          <w:r>
                            <w:t xml:space="preserve">— </w:t>
                          </w:r>
                          <w:r>
                            <w:fldChar w:fldCharType="begin"/>
                          </w:r>
                          <w:r>
                            <w:instrText xml:space="preserve"> PAGE  \* MERGEFORMAT </w:instrText>
                          </w:r>
                          <w:r>
                            <w:fldChar w:fldCharType="separate"/>
                          </w:r>
                          <w:r>
                            <w:t>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3"/>
                      <w:jc w:val="right"/>
                    </w:pPr>
                    <w:r>
                      <w:t xml:space="preserve">— </w:t>
                    </w:r>
                    <w:r>
                      <w:fldChar w:fldCharType="begin"/>
                    </w:r>
                    <w:r>
                      <w:instrText xml:space="preserve"> PAGE  \* MERGEFORMAT </w:instrText>
                    </w:r>
                    <w:r>
                      <w:fldChar w:fldCharType="separate"/>
                    </w:r>
                    <w:r>
                      <w:t>0</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spacing w:after="0"/>
      <w:ind w:right="629"/>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3OWRmMzBmNDEwZTU2MTI0NjMwYmI4NGI0ZjA3MDMifQ=="/>
  </w:docVars>
  <w:rsids>
    <w:rsidRoot w:val="4A1947CF"/>
    <w:rsid w:val="01D372AA"/>
    <w:rsid w:val="0AFA0790"/>
    <w:rsid w:val="0BAE0BA4"/>
    <w:rsid w:val="0C670CAE"/>
    <w:rsid w:val="0DFFEE6E"/>
    <w:rsid w:val="14406385"/>
    <w:rsid w:val="15FD13CC"/>
    <w:rsid w:val="163F7B41"/>
    <w:rsid w:val="16CF2DFA"/>
    <w:rsid w:val="1D6A784F"/>
    <w:rsid w:val="1EBF1C04"/>
    <w:rsid w:val="1EE52366"/>
    <w:rsid w:val="1FFD1FC5"/>
    <w:rsid w:val="2DDC571E"/>
    <w:rsid w:val="2FFF96D1"/>
    <w:rsid w:val="30BD9A67"/>
    <w:rsid w:val="35FBB560"/>
    <w:rsid w:val="37D9EA7B"/>
    <w:rsid w:val="37FF229F"/>
    <w:rsid w:val="3CB5966A"/>
    <w:rsid w:val="3D79012A"/>
    <w:rsid w:val="3F2B99C9"/>
    <w:rsid w:val="3F775F83"/>
    <w:rsid w:val="3FBE73A5"/>
    <w:rsid w:val="47AD0895"/>
    <w:rsid w:val="4A1947CF"/>
    <w:rsid w:val="56EF7078"/>
    <w:rsid w:val="57DF3FF5"/>
    <w:rsid w:val="57E7E4DD"/>
    <w:rsid w:val="57EE4D7D"/>
    <w:rsid w:val="5B70DFA3"/>
    <w:rsid w:val="5D974114"/>
    <w:rsid w:val="5DF9D040"/>
    <w:rsid w:val="5E7F46FC"/>
    <w:rsid w:val="5F602CF2"/>
    <w:rsid w:val="5FE10012"/>
    <w:rsid w:val="63B186C0"/>
    <w:rsid w:val="674558CA"/>
    <w:rsid w:val="6B7F3C06"/>
    <w:rsid w:val="6BF338DD"/>
    <w:rsid w:val="6C4BF03D"/>
    <w:rsid w:val="6D3B6788"/>
    <w:rsid w:val="6D4BF0CB"/>
    <w:rsid w:val="6F5FA60C"/>
    <w:rsid w:val="71BC1168"/>
    <w:rsid w:val="73BBE907"/>
    <w:rsid w:val="75D86DE8"/>
    <w:rsid w:val="75FFB0A7"/>
    <w:rsid w:val="775695D4"/>
    <w:rsid w:val="77FCA764"/>
    <w:rsid w:val="7ABD020C"/>
    <w:rsid w:val="7B5B1A70"/>
    <w:rsid w:val="7B7F737F"/>
    <w:rsid w:val="7B7FED33"/>
    <w:rsid w:val="7BF4F910"/>
    <w:rsid w:val="7BF7037F"/>
    <w:rsid w:val="7E9D6CA9"/>
    <w:rsid w:val="7EBF3A5F"/>
    <w:rsid w:val="7F691140"/>
    <w:rsid w:val="7F6E9579"/>
    <w:rsid w:val="7FF779AE"/>
    <w:rsid w:val="7FFF38C9"/>
    <w:rsid w:val="9E7F6F38"/>
    <w:rsid w:val="AAB7D21F"/>
    <w:rsid w:val="B7EB0593"/>
    <w:rsid w:val="BBDFAE5F"/>
    <w:rsid w:val="BBE3DA3B"/>
    <w:rsid w:val="BE0BBA97"/>
    <w:rsid w:val="BEC91856"/>
    <w:rsid w:val="BF6F30B1"/>
    <w:rsid w:val="BFA7B9CD"/>
    <w:rsid w:val="BFBF7395"/>
    <w:rsid w:val="BFFD9C3A"/>
    <w:rsid w:val="D17F64F6"/>
    <w:rsid w:val="D6B25534"/>
    <w:rsid w:val="D7EDE459"/>
    <w:rsid w:val="D9DD1E92"/>
    <w:rsid w:val="DD2F3DF0"/>
    <w:rsid w:val="DDFFD1F6"/>
    <w:rsid w:val="DEF7B234"/>
    <w:rsid w:val="E3E61319"/>
    <w:rsid w:val="EAD587DD"/>
    <w:rsid w:val="EBEB701B"/>
    <w:rsid w:val="ED28F63F"/>
    <w:rsid w:val="EDB7DAA3"/>
    <w:rsid w:val="EFB61200"/>
    <w:rsid w:val="EFDB9D1D"/>
    <w:rsid w:val="F3EFB9F1"/>
    <w:rsid w:val="F76EE807"/>
    <w:rsid w:val="F7EFBECA"/>
    <w:rsid w:val="F7FF03B5"/>
    <w:rsid w:val="F8BB91E3"/>
    <w:rsid w:val="F9BD538A"/>
    <w:rsid w:val="FA57D5C9"/>
    <w:rsid w:val="FB9FBB38"/>
    <w:rsid w:val="FBEC965F"/>
    <w:rsid w:val="FDE681AA"/>
    <w:rsid w:val="FDF11E36"/>
    <w:rsid w:val="FEDB5AB3"/>
    <w:rsid w:val="FEF5498F"/>
    <w:rsid w:val="FEF99DF8"/>
    <w:rsid w:val="FEFB2F69"/>
    <w:rsid w:val="FF5F1EE2"/>
    <w:rsid w:val="FFBF8144"/>
    <w:rsid w:val="FFCF4247"/>
    <w:rsid w:val="FFE6022E"/>
    <w:rsid w:val="FFFF38D2"/>
    <w:rsid w:val="FFFF433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toc 3"/>
    <w:basedOn w:val="1"/>
    <w:next w:val="1"/>
    <w:qFormat/>
    <w:uiPriority w:val="39"/>
    <w:pPr>
      <w:widowControl w:val="0"/>
      <w:ind w:left="840" w:leftChars="400"/>
      <w:jc w:val="both"/>
    </w:pPr>
    <w:rPr>
      <w:rFonts w:ascii="Times New Roman" w:hAnsi="Times New Roman" w:cs="Times New Roman"/>
      <w:kern w:val="2"/>
      <w:sz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39"/>
    <w:pPr>
      <w:widowControl w:val="0"/>
      <w:jc w:val="both"/>
    </w:pPr>
    <w:rPr>
      <w:rFonts w:ascii="Times New Roman" w:hAnsi="Times New Roman" w:cs="Times New Roman"/>
      <w:kern w:val="2"/>
      <w:sz w:val="21"/>
    </w:rPr>
  </w:style>
  <w:style w:type="character" w:styleId="8">
    <w:name w:val="page number"/>
    <w:qFormat/>
    <w:uiPriority w:val="0"/>
    <w:rPr>
      <w:rFonts w:ascii="Times New Roman" w:hAnsi="Times New Roman" w:eastAsia="宋体"/>
      <w:sz w:val="18"/>
    </w:rPr>
  </w:style>
  <w:style w:type="character" w:styleId="9">
    <w:name w:val="Emphasis"/>
    <w:basedOn w:val="7"/>
    <w:qFormat/>
    <w:uiPriority w:val="0"/>
    <w:rPr>
      <w:i/>
    </w:rPr>
  </w:style>
  <w:style w:type="character" w:styleId="10">
    <w:name w:val="Hyperlink"/>
    <w:qFormat/>
    <w:uiPriority w:val="99"/>
    <w:rPr>
      <w:color w:val="0000FF"/>
      <w:spacing w:val="0"/>
      <w:w w:val="100"/>
      <w:szCs w:val="21"/>
      <w:u w:val="single"/>
    </w:rPr>
  </w:style>
  <w:style w:type="character" w:customStyle="1" w:styleId="11">
    <w:name w:val="font81"/>
    <w:basedOn w:val="7"/>
    <w:qFormat/>
    <w:uiPriority w:val="0"/>
    <w:rPr>
      <w:rFonts w:ascii="Arial" w:hAnsi="Arial" w:cs="Arial"/>
      <w:color w:val="000000"/>
      <w:sz w:val="44"/>
      <w:szCs w:val="44"/>
      <w:u w:val="none"/>
    </w:rPr>
  </w:style>
  <w:style w:type="character" w:customStyle="1" w:styleId="12">
    <w:name w:val="font91"/>
    <w:basedOn w:val="7"/>
    <w:qFormat/>
    <w:uiPriority w:val="0"/>
    <w:rPr>
      <w:rFonts w:hint="eastAsia" w:ascii="宋体" w:hAnsi="宋体" w:eastAsia="宋体" w:cs="宋体"/>
      <w:color w:val="000000"/>
      <w:sz w:val="44"/>
      <w:szCs w:val="44"/>
      <w:u w:val="none"/>
    </w:rPr>
  </w:style>
  <w:style w:type="character" w:customStyle="1" w:styleId="13">
    <w:name w:val="font71"/>
    <w:basedOn w:val="7"/>
    <w:qFormat/>
    <w:uiPriority w:val="0"/>
    <w:rPr>
      <w:rFonts w:hint="eastAsia" w:ascii="仿宋" w:hAnsi="仿宋" w:eastAsia="仿宋" w:cs="仿宋"/>
      <w:color w:val="000000"/>
      <w:sz w:val="36"/>
      <w:szCs w:val="36"/>
      <w:u w:val="none"/>
    </w:rPr>
  </w:style>
  <w:style w:type="paragraph" w:customStyle="1" w:styleId="14">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15">
    <w:name w:val="目次、标准名称标题"/>
    <w:basedOn w:val="1"/>
    <w:next w:val="14"/>
    <w:qFormat/>
    <w:uiPriority w:val="0"/>
    <w:pPr>
      <w:keepNext/>
      <w:pageBreakBefore/>
      <w:shd w:val="clear" w:color="FFFFFF" w:fill="FFFFFF"/>
      <w:spacing w:before="640" w:after="560" w:line="460" w:lineRule="exact"/>
      <w:jc w:val="center"/>
      <w:outlineLvl w:val="0"/>
    </w:pPr>
    <w:rPr>
      <w:rFonts w:ascii="黑体" w:hAnsi="Times New Roman" w:eastAsia="黑体" w:cs="Times New Roman"/>
      <w:sz w:val="32"/>
      <w:szCs w:val="20"/>
    </w:rPr>
  </w:style>
  <w:style w:type="paragraph" w:customStyle="1" w:styleId="16">
    <w:name w:val="章标题"/>
    <w:next w:val="14"/>
    <w:qFormat/>
    <w:uiPriority w:val="0"/>
    <w:pPr>
      <w:spacing w:beforeLines="100" w:afterLines="100"/>
      <w:jc w:val="both"/>
      <w:outlineLvl w:val="1"/>
    </w:pPr>
    <w:rPr>
      <w:rFonts w:ascii="黑体" w:hAnsi="Times New Roman" w:eastAsia="黑体" w:cs="Times New Roman"/>
      <w:sz w:val="21"/>
      <w:lang w:val="en-US" w:eastAsia="zh-CN" w:bidi="ar-SA"/>
    </w:rPr>
  </w:style>
  <w:style w:type="paragraph" w:customStyle="1" w:styleId="17">
    <w:name w:val="一级条标题"/>
    <w:next w:val="14"/>
    <w:qFormat/>
    <w:uiPriority w:val="0"/>
    <w:pPr>
      <w:spacing w:beforeLines="50" w:afterLines="50"/>
      <w:outlineLvl w:val="2"/>
    </w:pPr>
    <w:rPr>
      <w:rFonts w:ascii="黑体" w:hAnsi="Times New Roman" w:eastAsia="黑体" w:cs="Times New Roman"/>
      <w:sz w:val="21"/>
      <w:szCs w:val="21"/>
      <w:lang w:val="en-US" w:eastAsia="zh-CN" w:bidi="ar-SA"/>
    </w:rPr>
  </w:style>
  <w:style w:type="paragraph" w:customStyle="1" w:styleId="18">
    <w:name w:val="二级条标题"/>
    <w:basedOn w:val="17"/>
    <w:next w:val="14"/>
    <w:qFormat/>
    <w:uiPriority w:val="0"/>
    <w:pPr>
      <w:spacing w:before="50" w:after="50"/>
      <w:outlineLvl w:val="3"/>
    </w:pPr>
  </w:style>
  <w:style w:type="paragraph" w:styleId="19">
    <w:name w:val="List Paragraph"/>
    <w:basedOn w:val="1"/>
    <w:qFormat/>
    <w:uiPriority w:val="0"/>
    <w:pPr>
      <w:ind w:firstLine="420" w:firstLineChars="200"/>
    </w:pPr>
  </w:style>
  <w:style w:type="paragraph" w:customStyle="1" w:styleId="20">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 w:type="paragraph" w:customStyle="1" w:styleId="21">
    <w:name w:val="标准书眉_奇数页"/>
    <w:next w:val="1"/>
    <w:qFormat/>
    <w:uiPriority w:val="0"/>
    <w:pPr>
      <w:tabs>
        <w:tab w:val="center" w:pos="4154"/>
        <w:tab w:val="right" w:pos="8306"/>
      </w:tabs>
      <w:spacing w:after="220"/>
      <w:jc w:val="right"/>
    </w:pPr>
    <w:rPr>
      <w:rFonts w:ascii="黑体" w:hAnsi="Times New Roman" w:eastAsia="黑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12939</Words>
  <Characters>13529</Characters>
  <Lines>0</Lines>
  <Paragraphs>0</Paragraphs>
  <TotalTime>62</TotalTime>
  <ScaleCrop>false</ScaleCrop>
  <LinksUpToDate>false</LinksUpToDate>
  <CharactersWithSpaces>13599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2018-07-20T15:11:00Z</dcterms:created>
  <dc:creator>d</dc:creator>
  <cp:lastModifiedBy>USR</cp:lastModifiedBy>
  <cp:lastPrinted>2024-05-15T22:23:00Z</cp:lastPrinted>
  <dcterms:modified xsi:type="dcterms:W3CDTF">2024-05-31T06:19:36Z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E65D92A736EA4973AEA4A3C8298A12E1_13</vt:lpwstr>
  </property>
</Properties>
</file>