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附件3</w:t>
      </w:r>
    </w:p>
    <w:p>
      <w:pPr>
        <w:spacing w:line="580" w:lineRule="exact"/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公共就业服务专项业务竞赛</w:t>
      </w:r>
    </w:p>
    <w:p>
      <w:pPr>
        <w:spacing w:line="580" w:lineRule="exact"/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全国赛赛制方案</w:t>
      </w: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全国赛设半</w:t>
      </w:r>
      <w:r>
        <w:rPr>
          <w:rFonts w:hint="eastAsia" w:ascii="华文仿宋" w:hAnsi="华文仿宋" w:eastAsia="华文仿宋"/>
          <w:color w:val="000000"/>
          <w:sz w:val="32"/>
          <w:szCs w:val="32"/>
        </w:rPr>
        <w:t>决赛和决赛两个竞赛环节，共2天时间。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比赛具体分为职业指导人员竞赛、基层公共就业服务人员（劳动保障协理员）竞赛两个项目，人员分场同时举办比赛。两个项目在竞赛形式、时间安排、赛制规则、竞赛激励等方面保持一致。</w:t>
      </w:r>
    </w:p>
    <w:p>
      <w:pPr>
        <w:widowControl/>
        <w:shd w:val="clear" w:color="auto" w:fill="FFFFFF"/>
        <w:spacing w:line="580" w:lineRule="exact"/>
        <w:ind w:firstLine="640" w:firstLineChars="200"/>
        <w:outlineLvl w:val="0"/>
        <w:rPr>
          <w:rFonts w:ascii="黑体" w:hAnsi="黑体" w:eastAsia="黑体" w:cs="黑体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一、半决赛</w:t>
      </w:r>
    </w:p>
    <w:p>
      <w:pPr>
        <w:widowControl/>
        <w:autoSpaceDN w:val="0"/>
        <w:snapToGrid w:val="0"/>
        <w:spacing w:line="580" w:lineRule="exact"/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第一天半决赛环节包括“理论知识竞赛”和“服务案例情景再现竞赛”两项。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（一）理论知识竞赛</w:t>
      </w:r>
    </w:p>
    <w:p>
      <w:pPr>
        <w:widowControl/>
        <w:tabs>
          <w:tab w:val="left" w:pos="2555"/>
        </w:tabs>
        <w:autoSpaceDN w:val="0"/>
        <w:snapToGrid w:val="0"/>
        <w:spacing w:line="58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理论知识竞赛时间为60分钟，以书面答卷（闭卷）方式进行。答卷题目包括50道知识客观题和15道案例客观题，满分为100分。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（二）服务案例情景再现竞赛</w:t>
      </w:r>
    </w:p>
    <w:p>
      <w:pPr>
        <w:snapToGrid w:val="0"/>
        <w:spacing w:line="58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服务案例情景针对离校未就业高校毕业生、失业人员、建档立卡贫困户的指导，用人单位的指导，共四个试题类型。选手抽签确定竞赛试题类型和顺序，每个类型参赛选手人数为8-9人。要求选手针对案例情景和问题任务要求，在8分钟时间内与模拟来访者现场咨询，展示就业服务的岗位技能，为其提供优质的就业服务。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评委根据选手现场表现和模拟来访者反馈情况进行评分。满分100分。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（三）半决赛成绩计算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半决赛成绩=理论知识竞赛成绩*30%+服务案例情景再现竞赛得分*70%。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（四）晋级规则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经大赛组委会确认后，按半决赛成绩排序，最终确定16名选手晋级决赛。选手半决赛总成绩相同，且影响晋级结果时，服务案例情景再现竞赛成绩高者优先。如总成绩和两个环节成绩均相</w:t>
      </w:r>
      <w:r>
        <w:rPr>
          <w:rFonts w:hint="eastAsia" w:ascii="仿宋_GB2312" w:hAnsi="仿宋_GB2312" w:eastAsia="仿宋_GB2312" w:cs="仿宋_GB2312"/>
          <w:sz w:val="32"/>
          <w:szCs w:val="32"/>
        </w:rPr>
        <w:t>同，则由竞赛组委会按照选手实际年龄确定，年长者优先。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如有选手晋级决赛后放弃决赛资格，在决赛抽签分组前，全国赛组委会将根据选手半决赛成绩高低，依次递补参加决赛的人员。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黑体" w:hAnsi="黑体" w:eastAsia="黑体" w:cs="黑体"/>
          <w:b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二、决赛</w:t>
      </w:r>
    </w:p>
    <w:p>
      <w:pPr>
        <w:snapToGrid w:val="0"/>
        <w:spacing w:line="580" w:lineRule="exact"/>
        <w:ind w:firstLine="640" w:firstLineChars="200"/>
        <w:rPr>
          <w:rFonts w:ascii="仿宋_GB2312" w:hAnsi="楷体" w:eastAsia="仿宋_GB2312" w:cs="楷体_GB2312"/>
          <w:color w:val="000000"/>
          <w:sz w:val="32"/>
          <w:szCs w:val="32"/>
        </w:rPr>
      </w:pPr>
      <w:r>
        <w:rPr>
          <w:rFonts w:hint="eastAsia" w:ascii="仿宋_GB2312" w:hAnsi="楷体" w:eastAsia="仿宋_GB2312" w:cs="楷体_GB2312"/>
          <w:color w:val="000000"/>
          <w:sz w:val="32"/>
          <w:szCs w:val="32"/>
        </w:rPr>
        <w:t>第二天决赛，晋级决赛的16名选手的半决赛成绩的3</w:t>
      </w:r>
      <w:r>
        <w:rPr>
          <w:rFonts w:ascii="仿宋_GB2312" w:hAnsi="楷体" w:eastAsia="仿宋_GB2312" w:cs="楷体_GB2312"/>
          <w:color w:val="000000"/>
          <w:sz w:val="32"/>
          <w:szCs w:val="32"/>
        </w:rPr>
        <w:t>0</w:t>
      </w:r>
      <w:r>
        <w:rPr>
          <w:rFonts w:hint="eastAsia" w:ascii="仿宋_GB2312" w:hAnsi="楷体" w:eastAsia="仿宋_GB2312" w:cs="楷体_GB2312"/>
          <w:color w:val="000000"/>
          <w:sz w:val="32"/>
          <w:szCs w:val="32"/>
        </w:rPr>
        <w:t>%作为决赛初始成绩计入最终得分。选手通过抽签决定决赛比赛顺序，依次连续完成</w:t>
      </w: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“个人工作亮点展示”和“服务案例情景再现竞赛”两个</w:t>
      </w:r>
      <w:r>
        <w:rPr>
          <w:rFonts w:hint="eastAsia" w:ascii="仿宋_GB2312" w:hAnsi="仿宋" w:eastAsia="仿宋_GB2312" w:cs="仿宋_GB2312"/>
          <w:sz w:val="32"/>
          <w:szCs w:val="32"/>
        </w:rPr>
        <w:t>环节</w:t>
      </w:r>
      <w:r>
        <w:rPr>
          <w:rFonts w:hint="eastAsia" w:ascii="仿宋_GB2312" w:hAnsi="楷体" w:eastAsia="仿宋_GB2312" w:cs="楷体_GB2312"/>
          <w:sz w:val="32"/>
          <w:szCs w:val="32"/>
        </w:rPr>
        <w:t>；之后进</w:t>
      </w:r>
      <w:r>
        <w:rPr>
          <w:rFonts w:hint="eastAsia" w:ascii="仿宋_GB2312" w:hAnsi="楷体" w:eastAsia="仿宋_GB2312" w:cs="楷体_GB2312"/>
          <w:color w:val="000000"/>
          <w:sz w:val="32"/>
          <w:szCs w:val="32"/>
        </w:rPr>
        <w:t>入“擂台赛”环节,同台竞技答题。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（一）个人工作亮点展示</w:t>
      </w:r>
    </w:p>
    <w:p>
      <w:pPr>
        <w:widowControl/>
        <w:autoSpaceDN w:val="0"/>
        <w:snapToGrid w:val="0"/>
        <w:spacing w:line="580" w:lineRule="exact"/>
        <w:ind w:firstLine="640"/>
        <w:rPr>
          <w:rFonts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选手按照抽签顺序依次上台，剖析、分享个人在公共就业服务工作中的典型案例，可结合提前准备好的相关工作图片、视频或PPT等辅助陈述材料，脱稿陈述个性化工作内容，如分析经验及不足，明晰业务改进方向。本环节要求每个选手在</w:t>
      </w:r>
      <w:r>
        <w:rPr>
          <w:rFonts w:ascii="仿宋_GB2312" w:hAnsi="仿宋" w:eastAsia="仿宋_GB2312"/>
          <w:color w:val="000000"/>
          <w:sz w:val="32"/>
          <w:szCs w:val="32"/>
        </w:rPr>
        <w:t>2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分钟内完成。该环节主要考查选手日常服务成果的积累和现场展示能力。评委根据选手现场表现进行打分。满分20分。</w:t>
      </w:r>
    </w:p>
    <w:p>
      <w:pPr>
        <w:widowControl/>
        <w:autoSpaceDN w:val="0"/>
        <w:snapToGrid w:val="0"/>
        <w:spacing w:line="580" w:lineRule="exact"/>
        <w:ind w:firstLine="640"/>
        <w:rPr>
          <w:rFonts w:ascii="仿宋_GB2312" w:hAnsi="仿宋" w:eastAsia="楷体" w:cs="仿宋_GB2312"/>
          <w:b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（二）服务案例情景再现竞赛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仿宋_GB2312" w:hAnsi="仿宋" w:eastAsia="仿宋_GB2312" w:cs="仿宋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服务案例情景针对离校未就业高校毕业生、失业人员、建档立卡贫困户的指导，用人单位的指导，共四个试题类型。1</w:t>
      </w:r>
      <w:r>
        <w:rPr>
          <w:rFonts w:ascii="仿宋_GB2312" w:hAnsi="仿宋" w:eastAsia="仿宋_GB2312"/>
          <w:color w:val="000000"/>
          <w:sz w:val="32"/>
          <w:szCs w:val="32"/>
        </w:rPr>
        <w:t>6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名选手抽签确定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竞赛试题类型和顺序，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每类试题4位选手。选手根据抽签确定的竞赛内容，在8分钟时间内与模拟来访者现场咨询，展示就业</w:t>
      </w:r>
      <w:r>
        <w:rPr>
          <w:rFonts w:hint="eastAsia" w:ascii="华文仿宋" w:hAnsi="华文仿宋" w:eastAsia="华文仿宋"/>
          <w:sz w:val="32"/>
          <w:szCs w:val="32"/>
        </w:rPr>
        <w:t>服务技巧和能力（问题诊断的准确性、指导思路的针对性、对策措施的有效性、服务对象的满意度）、沟通能力和服务礼仪；同时也将结合就业重点工作（如抗击新冠肺炎疫情、助力脱贫攻坚和稳就业工作等），展现解决当前就业重点工作的能力。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评委根据选手现场表现和模拟来访者反馈进行评分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。满分60分。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（三）擂台赛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擂台赛共2</w:t>
      </w:r>
      <w:r>
        <w:rPr>
          <w:rFonts w:ascii="华文仿宋" w:hAnsi="华文仿宋" w:eastAsia="华文仿宋"/>
          <w:sz w:val="32"/>
          <w:szCs w:val="32"/>
        </w:rPr>
        <w:t>0</w:t>
      </w:r>
      <w:r>
        <w:rPr>
          <w:rFonts w:hint="eastAsia" w:ascii="华文仿宋" w:hAnsi="华文仿宋" w:eastAsia="华文仿宋"/>
          <w:sz w:val="32"/>
          <w:szCs w:val="32"/>
        </w:rPr>
        <w:t>道客观题，16名决赛选手在规定的时间内同时答题。累计答错5道题后，停止答题资格。答题内容主要包括习近平总书记关于就业创业、复工复产、脱贫攻坚等方面的重要论述，最新的就业创业政策，就业服务基本理论、技术方法、服务技能和典型问题解决方法等。满分20分。</w:t>
      </w:r>
    </w:p>
    <w:p>
      <w:pPr>
        <w:widowControl/>
        <w:autoSpaceDN w:val="0"/>
        <w:snapToGrid w:val="0"/>
        <w:spacing w:line="580" w:lineRule="exact"/>
        <w:ind w:firstLine="640"/>
        <w:rPr>
          <w:rFonts w:ascii="仿宋_GB2312" w:hAnsi="楷体" w:eastAsia="仿宋_GB2312" w:cs="楷体_GB2312"/>
          <w:b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（四）决赛成绩计算</w:t>
      </w:r>
    </w:p>
    <w:p>
      <w:pPr>
        <w:widowControl/>
        <w:autoSpaceDN w:val="0"/>
        <w:snapToGrid w:val="0"/>
        <w:spacing w:line="580" w:lineRule="exact"/>
        <w:ind w:firstLine="640"/>
        <w:rPr>
          <w:rFonts w:ascii="仿宋_GB2312" w:hAnsi="楷体" w:eastAsia="仿宋_GB2312" w:cs="楷体_GB2312"/>
          <w:color w:val="000000"/>
          <w:sz w:val="32"/>
          <w:szCs w:val="32"/>
        </w:rPr>
      </w:pPr>
      <w:r>
        <w:rPr>
          <w:rFonts w:hint="eastAsia" w:ascii="仿宋_GB2312" w:hAnsi="楷体" w:eastAsia="仿宋_GB2312" w:cs="楷体_GB2312"/>
          <w:color w:val="000000"/>
          <w:sz w:val="32"/>
          <w:szCs w:val="32"/>
        </w:rPr>
        <w:t>决赛成绩=半决赛成绩*</w:t>
      </w:r>
      <w:r>
        <w:rPr>
          <w:rFonts w:ascii="仿宋_GB2312" w:hAnsi="楷体" w:eastAsia="仿宋_GB2312" w:cs="楷体_GB2312"/>
          <w:color w:val="000000"/>
          <w:sz w:val="32"/>
          <w:szCs w:val="32"/>
        </w:rPr>
        <w:t>30</w:t>
      </w:r>
      <w:r>
        <w:rPr>
          <w:rFonts w:hint="eastAsia" w:ascii="仿宋_GB2312" w:hAnsi="楷体" w:eastAsia="仿宋_GB2312" w:cs="楷体_GB2312"/>
          <w:color w:val="000000"/>
          <w:sz w:val="32"/>
          <w:szCs w:val="32"/>
        </w:rPr>
        <w:t>%+决赛成绩（个人工作亮点展示得分+服务案例情景再现竞赛得分+擂台赛得分）*7</w:t>
      </w:r>
      <w:r>
        <w:rPr>
          <w:rFonts w:ascii="仿宋_GB2312" w:hAnsi="楷体" w:eastAsia="仿宋_GB2312" w:cs="楷体_GB2312"/>
          <w:color w:val="000000"/>
          <w:sz w:val="32"/>
          <w:szCs w:val="32"/>
        </w:rPr>
        <w:t>0</w:t>
      </w:r>
      <w:r>
        <w:rPr>
          <w:rFonts w:hint="eastAsia" w:ascii="仿宋_GB2312" w:hAnsi="楷体" w:eastAsia="仿宋_GB2312" w:cs="楷体_GB2312"/>
          <w:color w:val="000000"/>
          <w:sz w:val="32"/>
          <w:szCs w:val="32"/>
        </w:rPr>
        <w:t>%。</w:t>
      </w:r>
    </w:p>
    <w:p>
      <w:pPr>
        <w:widowControl/>
        <w:autoSpaceDN w:val="0"/>
        <w:snapToGrid w:val="0"/>
        <w:spacing w:line="580" w:lineRule="exact"/>
        <w:ind w:firstLine="640" w:firstLineChars="200"/>
        <w:rPr>
          <w:rFonts w:ascii="楷体" w:hAnsi="楷体" w:eastAsia="楷体" w:cs="楷体"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color w:val="000000"/>
          <w:sz w:val="32"/>
          <w:szCs w:val="32"/>
        </w:rPr>
        <w:t>（五）排位规则</w:t>
      </w:r>
    </w:p>
    <w:p>
      <w:r>
        <w:rPr>
          <w:rFonts w:hint="eastAsia" w:ascii="仿宋_GB2312" w:hAnsi="仿宋" w:eastAsia="仿宋_GB2312"/>
          <w:color w:val="000000"/>
          <w:sz w:val="32"/>
          <w:szCs w:val="32"/>
        </w:rPr>
        <w:t>按照选手最终得分成绩排位，如总成绩相同且影响晋级结果时，以决赛成绩高者优先；决赛成绩相同时，依次比对擂台赛和服务案例情景再现环节的成绩，成绩高者优先；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如前面各项成绩均相</w:t>
      </w:r>
      <w:r>
        <w:rPr>
          <w:rFonts w:hint="eastAsia" w:ascii="仿宋_GB2312" w:hAnsi="仿宋_GB2312" w:eastAsia="仿宋_GB2312" w:cs="仿宋_GB2312"/>
          <w:sz w:val="32"/>
          <w:szCs w:val="32"/>
        </w:rPr>
        <w:t>同时，则由竞赛组委会按照选手实际年龄确定，年长者优先。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4A1947CF"/>
    <w:rsid w:val="AFDFE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2018-07-11T15:11:00Z</dcterms:created>
  <dc:creator>d</dc:creator>
  <cp:lastModifiedBy>admin</cp:lastModifiedBy>
  <dcterms:modified xsi:type="dcterms:W3CDTF">2023-11-15T16:02:10Z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</Properties>
</file>