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仿宋_GB2312" w:hAnsi="仿宋_GB2312" w:eastAsia="仿宋_GB2312" w:cs="仿宋_GB2312"/>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仿宋_GB2312" w:hAnsi="仿宋_GB2312" w:eastAsia="仿宋_GB2312" w:cs="仿宋_GB2312"/>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仿宋_GB2312" w:hAnsi="仿宋_GB2312" w:eastAsia="仿宋_GB2312" w:cs="仿宋_GB2312"/>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仿宋_GB2312" w:hAnsi="仿宋_GB2312" w:eastAsia="仿宋_GB2312" w:cs="仿宋_GB2312"/>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鲁人社字〔2022〕136号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仿宋_GB2312" w:hAnsi="仿宋_GB2312" w:eastAsia="仿宋_GB2312" w:cs="仿宋_GB2312"/>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仿宋_GB2312" w:hAnsi="仿宋_GB2312" w:eastAsia="仿宋_GB2312" w:cs="仿宋_GB2312"/>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color w:val="auto"/>
          <w:sz w:val="44"/>
          <w:szCs w:val="44"/>
          <w:lang w:eastAsia="zh-CN"/>
        </w:rPr>
        <w:t>山东省人力资源和社会保障厅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color w:val="auto"/>
          <w:sz w:val="44"/>
          <w:szCs w:val="44"/>
          <w:lang w:eastAsia="zh-CN"/>
        </w:rPr>
        <w:t>关于印发《山东省用人单位劳动人事争议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color w:val="auto"/>
          <w:sz w:val="44"/>
          <w:szCs w:val="44"/>
          <w:lang w:eastAsia="zh-CN"/>
        </w:rPr>
        <w:t>内部申诉和协商回应参考指引（试行）》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color w:val="auto"/>
          <w:sz w:val="44"/>
          <w:szCs w:val="44"/>
          <w:lang w:eastAsia="zh-CN"/>
        </w:rPr>
        <w:t>的通知</w:t>
      </w:r>
    </w:p>
    <w:p>
      <w:pPr>
        <w:keepNext w:val="0"/>
        <w:keepLines w:val="0"/>
        <w:pageBreakBefore w:val="0"/>
        <w:widowControl w:val="0"/>
        <w:kinsoku/>
        <w:wordWrap/>
        <w:overflowPunct/>
        <w:topLinePunct w:val="0"/>
        <w:autoSpaceDE/>
        <w:autoSpaceDN/>
        <w:bidi w:val="0"/>
        <w:spacing w:line="560" w:lineRule="exact"/>
        <w:ind w:left="0" w:leftChars="0" w:right="0" w:rightChars="0"/>
        <w:jc w:val="left"/>
        <w:textAlignment w:val="auto"/>
        <w:outlineLvl w:val="9"/>
        <w:rPr>
          <w:rFonts w:hint="eastAsia" w:ascii="仿宋_GB2312" w:hAnsi="仿宋_GB2312" w:eastAsia="仿宋_GB2312" w:cs="仿宋_GB2312"/>
          <w:color w:val="auto"/>
          <w:sz w:val="32"/>
          <w:szCs w:val="32"/>
          <w:lang w:eastAsia="zh-CN"/>
        </w:rPr>
      </w:pP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textAlignment w:val="auto"/>
        <w:outlineLvl w:val="9"/>
        <w:rPr>
          <w:rFonts w:hint="eastAsia" w:ascii="仿宋_GB2312" w:hAnsi="新宋体" w:eastAsia="仿宋_GB2312" w:cs="宋体"/>
          <w:color w:val="auto"/>
          <w:sz w:val="32"/>
          <w:szCs w:val="32"/>
          <w:lang w:eastAsia="zh-CN"/>
        </w:rPr>
      </w:pPr>
      <w:r>
        <w:rPr>
          <w:rFonts w:hint="eastAsia" w:ascii="仿宋_GB2312" w:hAnsi="仿宋_GB2312" w:eastAsia="仿宋_GB2312" w:cs="仿宋_GB2312"/>
          <w:color w:val="auto"/>
          <w:sz w:val="32"/>
          <w:szCs w:val="32"/>
          <w:lang w:eastAsia="zh-CN"/>
        </w:rPr>
        <w:t>各市人力资源社会保障局，</w:t>
      </w:r>
      <w:r>
        <w:rPr>
          <w:rFonts w:hint="eastAsia" w:ascii="仿宋_GB2312" w:hAnsi="新宋体" w:eastAsia="仿宋_GB2312" w:cs="宋体"/>
          <w:color w:val="auto"/>
          <w:sz w:val="32"/>
          <w:szCs w:val="32"/>
        </w:rPr>
        <w:t>省直各部门</w:t>
      </w:r>
      <w:r>
        <w:rPr>
          <w:rFonts w:hint="eastAsia" w:ascii="仿宋_GB2312" w:hAnsi="新宋体" w:eastAsia="仿宋_GB2312" w:cs="宋体"/>
          <w:color w:val="auto"/>
          <w:sz w:val="32"/>
          <w:szCs w:val="32"/>
          <w:lang w:eastAsia="zh-CN"/>
        </w:rPr>
        <w:t>（</w:t>
      </w:r>
      <w:r>
        <w:rPr>
          <w:rFonts w:hint="eastAsia" w:ascii="仿宋_GB2312" w:hAnsi="新宋体" w:eastAsia="仿宋_GB2312" w:cs="宋体"/>
          <w:color w:val="auto"/>
          <w:sz w:val="32"/>
          <w:szCs w:val="32"/>
        </w:rPr>
        <w:t>单位</w:t>
      </w:r>
      <w:r>
        <w:rPr>
          <w:rFonts w:hint="eastAsia" w:ascii="仿宋_GB2312" w:hAnsi="新宋体" w:eastAsia="仿宋_GB2312" w:cs="宋体"/>
          <w:color w:val="auto"/>
          <w:sz w:val="32"/>
          <w:szCs w:val="32"/>
          <w:lang w:eastAsia="zh-CN"/>
        </w:rPr>
        <w:t>）</w:t>
      </w:r>
      <w:r>
        <w:rPr>
          <w:rFonts w:hint="eastAsia" w:ascii="仿宋_GB2312" w:hAnsi="新宋体" w:eastAsia="仿宋_GB2312" w:cs="宋体"/>
          <w:color w:val="auto"/>
          <w:sz w:val="32"/>
          <w:szCs w:val="32"/>
        </w:rPr>
        <w:t>，中央驻鲁各有关单位</w:t>
      </w:r>
      <w:r>
        <w:rPr>
          <w:rFonts w:hint="eastAsia" w:ascii="仿宋_GB2312" w:hAnsi="新宋体" w:eastAsia="仿宋_GB2312" w:cs="宋体"/>
          <w:color w:val="auto"/>
          <w:sz w:val="32"/>
          <w:szCs w:val="32"/>
          <w:lang w:eastAsia="zh-CN"/>
        </w:rPr>
        <w:t>：</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9"/>
        <w:rPr>
          <w:rFonts w:hint="default" w:ascii="仿宋_GB2312" w:eastAsia="仿宋_GB2312"/>
          <w:color w:val="auto"/>
          <w:sz w:val="32"/>
          <w:szCs w:val="32"/>
          <w:lang w:val="en-US" w:eastAsia="zh-CN"/>
        </w:rPr>
      </w:pPr>
      <w:r>
        <w:rPr>
          <w:rFonts w:hint="eastAsia" w:ascii="仿宋_GB2312" w:eastAsia="仿宋_GB2312"/>
          <w:color w:val="auto"/>
          <w:sz w:val="32"/>
          <w:szCs w:val="32"/>
        </w:rPr>
        <w:t>为贯彻落实省委“十大创新”要求，深化劳动人事争议源头治理，</w:t>
      </w:r>
      <w:r>
        <w:rPr>
          <w:rFonts w:hint="eastAsia" w:ascii="仿宋_GB2312" w:hAnsi="新宋体" w:eastAsia="仿宋_GB2312" w:cs="宋体"/>
          <w:color w:val="auto"/>
          <w:sz w:val="32"/>
          <w:szCs w:val="32"/>
          <w:lang w:eastAsia="zh-CN"/>
        </w:rPr>
        <w:t>进一步规范和引导用人单位劳动人事争议内部申诉和协商回应工作，</w:t>
      </w:r>
      <w:r>
        <w:rPr>
          <w:rFonts w:hint="eastAsia" w:ascii="仿宋_GB2312" w:eastAsia="仿宋_GB2312"/>
          <w:color w:val="auto"/>
          <w:sz w:val="32"/>
          <w:szCs w:val="32"/>
        </w:rPr>
        <w:t>增强协商调解在化解劳动人事争议中的基础性作用，</w:t>
      </w:r>
      <w:r>
        <w:rPr>
          <w:rFonts w:hint="eastAsia" w:ascii="仿宋_GB2312" w:eastAsia="仿宋_GB2312"/>
          <w:color w:val="auto"/>
          <w:sz w:val="32"/>
          <w:szCs w:val="32"/>
          <w:lang w:eastAsia="zh-CN"/>
        </w:rPr>
        <w:t>省人力资源社会保障厅制定了《山东省用人单位劳动人事争议内部申诉和协商回应参考指引（试行）》，现印发</w:t>
      </w:r>
      <w:r>
        <w:rPr>
          <w:rFonts w:hint="default" w:ascii="仿宋_GB2312" w:eastAsia="仿宋_GB2312"/>
          <w:color w:val="auto"/>
          <w:sz w:val="32"/>
          <w:szCs w:val="32"/>
          <w:lang w:eastAsia="zh-CN"/>
        </w:rPr>
        <w:t>给你们</w:t>
      </w:r>
      <w:r>
        <w:rPr>
          <w:rFonts w:hint="eastAsia" w:ascii="仿宋_GB2312" w:eastAsia="仿宋_GB2312"/>
          <w:color w:val="auto"/>
          <w:sz w:val="32"/>
          <w:szCs w:val="32"/>
          <w:lang w:eastAsia="zh-CN"/>
        </w:rPr>
        <w:t>。各市人力资源社会保障局要切实抓好指导落实和工作宣传；省直各部门（单位）、中央驻鲁各有关单位应加强对所属企事业单位协商化解劳动人事争议工作的支持。施行工作中遇到新情况、新问题</w:t>
      </w:r>
      <w:r>
        <w:rPr>
          <w:rFonts w:hint="default" w:ascii="仿宋_GB2312" w:eastAsia="仿宋_GB2312"/>
          <w:color w:val="auto"/>
          <w:sz w:val="32"/>
          <w:szCs w:val="32"/>
          <w:lang w:eastAsia="zh-CN"/>
        </w:rPr>
        <w:t>，</w:t>
      </w:r>
      <w:r>
        <w:rPr>
          <w:rFonts w:hint="eastAsia" w:ascii="仿宋_GB2312" w:eastAsia="仿宋_GB2312"/>
          <w:color w:val="auto"/>
          <w:sz w:val="32"/>
          <w:szCs w:val="32"/>
          <w:lang w:eastAsia="zh-CN"/>
        </w:rPr>
        <w:t>请及时向省人力资源社会保障厅反映。</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0" w:firstLineChars="0"/>
        <w:jc w:val="center"/>
        <w:textAlignment w:val="auto"/>
        <w:outlineLvl w:val="9"/>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 xml:space="preserve">            </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0" w:firstLineChars="0"/>
        <w:jc w:val="center"/>
        <w:textAlignment w:val="auto"/>
        <w:outlineLvl w:val="9"/>
        <w:rPr>
          <w:rFonts w:hint="eastAsia" w:ascii="仿宋_GB2312" w:eastAsia="仿宋_GB2312"/>
          <w:color w:val="auto"/>
          <w:sz w:val="32"/>
          <w:szCs w:val="32"/>
          <w:lang w:val="en-US" w:eastAsia="zh-CN"/>
        </w:rPr>
      </w:pP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0" w:firstLineChars="0"/>
        <w:jc w:val="center"/>
        <w:textAlignment w:val="auto"/>
        <w:outlineLvl w:val="9"/>
        <w:rPr>
          <w:rFonts w:hint="eastAsia" w:ascii="仿宋_GB2312" w:eastAsia="仿宋_GB2312"/>
          <w:color w:val="auto"/>
          <w:sz w:val="32"/>
          <w:szCs w:val="32"/>
          <w:lang w:eastAsia="zh-CN"/>
        </w:rPr>
      </w:pPr>
      <w:r>
        <w:rPr>
          <w:rFonts w:hint="eastAsia" w:ascii="仿宋_GB2312" w:eastAsia="仿宋_GB2312"/>
          <w:color w:val="auto"/>
          <w:sz w:val="32"/>
          <w:szCs w:val="32"/>
          <w:lang w:val="en-US" w:eastAsia="zh-CN"/>
        </w:rPr>
        <w:t xml:space="preserve">                       </w:t>
      </w:r>
      <w:r>
        <w:rPr>
          <w:rFonts w:hint="eastAsia" w:ascii="仿宋_GB2312" w:eastAsia="仿宋_GB2312"/>
          <w:color w:val="auto"/>
          <w:sz w:val="32"/>
          <w:szCs w:val="32"/>
          <w:lang w:eastAsia="zh-CN"/>
        </w:rPr>
        <w:t>山东省人力资源和社会保障厅</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1264" w:rightChars="400" w:firstLine="0" w:firstLineChars="0"/>
        <w:jc w:val="right"/>
        <w:textAlignment w:val="auto"/>
        <w:outlineLvl w:val="9"/>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 xml:space="preserve">            2022年11月9日</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4160" w:firstLineChars="1300"/>
        <w:textAlignment w:val="auto"/>
        <w:outlineLvl w:val="9"/>
        <w:rPr>
          <w:rFonts w:hint="eastAsia" w:ascii="仿宋_GB2312" w:eastAsia="仿宋_GB2312"/>
          <w:color w:val="auto"/>
          <w:sz w:val="32"/>
          <w:szCs w:val="32"/>
          <w:lang w:val="en-US" w:eastAsia="zh-CN"/>
        </w:rPr>
      </w:pP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9"/>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（此件主动公开）</w:t>
      </w:r>
    </w:p>
    <w:p>
      <w:pPr>
        <w:keepNext w:val="0"/>
        <w:keepLines w:val="0"/>
        <w:pageBreakBefore w:val="0"/>
        <w:widowControl w:val="0"/>
        <w:kinsoku/>
        <w:wordWrap/>
        <w:overflowPunct/>
        <w:topLinePunct w:val="0"/>
        <w:autoSpaceDE/>
        <w:autoSpaceDN/>
        <w:bidi w:val="0"/>
        <w:spacing w:line="560" w:lineRule="exact"/>
        <w:ind w:left="0" w:leftChars="0" w:right="0" w:rightChars="0" w:firstLine="640" w:firstLineChars="200"/>
        <w:jc w:val="both"/>
        <w:textAlignment w:val="auto"/>
        <w:outlineLvl w:val="9"/>
        <w:rPr>
          <w:rFonts w:hint="eastAsia" w:ascii="方正小标宋简体" w:eastAsia="方正小标宋简体"/>
          <w:color w:val="auto"/>
          <w:sz w:val="44"/>
          <w:szCs w:val="44"/>
        </w:rPr>
      </w:pPr>
      <w:r>
        <w:rPr>
          <w:rFonts w:hint="eastAsia" w:ascii="仿宋_GB2312" w:eastAsia="仿宋_GB2312"/>
          <w:color w:val="auto"/>
          <w:sz w:val="32"/>
          <w:szCs w:val="32"/>
          <w:lang w:val="en-US" w:eastAsia="zh-CN"/>
        </w:rPr>
        <w:t>（联系单位：省人力资源社会保障厅调解仲裁管理处、省劳动人事争议仲裁院）</w:t>
      </w:r>
    </w:p>
    <w:p>
      <w:pPr>
        <w:keepNext w:val="0"/>
        <w:keepLines w:val="0"/>
        <w:pageBreakBefore w:val="0"/>
        <w:widowControl w:val="0"/>
        <w:kinsoku/>
        <w:wordWrap/>
        <w:overflowPunct/>
        <w:topLinePunct w:val="0"/>
        <w:autoSpaceDE/>
        <w:autoSpaceDN/>
        <w:bidi w:val="0"/>
        <w:spacing w:line="560" w:lineRule="exact"/>
        <w:ind w:left="0" w:leftChars="0" w:right="0" w:rightChars="0"/>
        <w:jc w:val="center"/>
        <w:textAlignment w:val="auto"/>
        <w:outlineLvl w:val="9"/>
        <w:rPr>
          <w:rFonts w:hint="eastAsia" w:ascii="方正小标宋简体" w:eastAsia="方正小标宋简体"/>
          <w:color w:val="auto"/>
          <w:sz w:val="44"/>
          <w:szCs w:val="44"/>
        </w:rPr>
        <w:sectPr>
          <w:footerReference r:id="rId3" w:type="default"/>
          <w:pgSz w:w="11906" w:h="16838"/>
          <w:pgMar w:top="2098" w:right="1531" w:bottom="1814" w:left="1531" w:header="851" w:footer="1587" w:gutter="0"/>
          <w:pgNumType w:fmt="decimal"/>
          <w:cols w:space="0" w:num="1"/>
          <w:rtlGutter w:val="0"/>
          <w:docGrid w:type="linesAndChars" w:linePitch="587" w:charSpace="-849"/>
        </w:sectPr>
      </w:pPr>
    </w:p>
    <w:p>
      <w:pPr>
        <w:keepNext w:val="0"/>
        <w:keepLines w:val="0"/>
        <w:pageBreakBefore w:val="0"/>
        <w:widowControl w:val="0"/>
        <w:kinsoku/>
        <w:wordWrap/>
        <w:overflowPunct/>
        <w:topLinePunct w:val="0"/>
        <w:autoSpaceDE/>
        <w:autoSpaceDN/>
        <w:bidi w:val="0"/>
        <w:spacing w:line="580" w:lineRule="exact"/>
        <w:ind w:left="0" w:leftChars="0" w:right="0" w:rightChars="0"/>
        <w:jc w:val="center"/>
        <w:textAlignment w:val="auto"/>
        <w:outlineLvl w:val="9"/>
        <w:rPr>
          <w:rFonts w:hint="eastAsia" w:ascii="方正小标宋简体" w:eastAsia="方正小标宋简体"/>
          <w:color w:val="auto"/>
          <w:sz w:val="44"/>
          <w:szCs w:val="44"/>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eastAsia" w:ascii="方正小标宋简体" w:eastAsia="方正小标宋简体"/>
          <w:color w:val="auto"/>
          <w:sz w:val="44"/>
          <w:szCs w:val="44"/>
        </w:rPr>
      </w:pPr>
      <w:r>
        <w:rPr>
          <w:rFonts w:hint="eastAsia" w:ascii="方正小标宋简体" w:eastAsia="方正小标宋简体"/>
          <w:color w:val="auto"/>
          <w:sz w:val="44"/>
          <w:szCs w:val="44"/>
        </w:rPr>
        <w:t>山东省</w:t>
      </w:r>
      <w:r>
        <w:rPr>
          <w:rFonts w:hint="eastAsia" w:ascii="方正小标宋简体" w:eastAsia="方正小标宋简体"/>
          <w:color w:val="auto"/>
          <w:sz w:val="44"/>
          <w:szCs w:val="44"/>
          <w:lang w:eastAsia="zh-CN"/>
        </w:rPr>
        <w:t>用人单位</w:t>
      </w:r>
      <w:r>
        <w:rPr>
          <w:rFonts w:hint="eastAsia" w:ascii="方正小标宋简体" w:eastAsia="方正小标宋简体"/>
          <w:color w:val="auto"/>
          <w:sz w:val="44"/>
          <w:szCs w:val="44"/>
        </w:rPr>
        <w:t>劳动人事争议内部申诉和协商回应参考指引（试行）</w:t>
      </w:r>
    </w:p>
    <w:p>
      <w:pPr>
        <w:keepNext w:val="0"/>
        <w:keepLines w:val="0"/>
        <w:pageBreakBefore w:val="0"/>
        <w:widowControl w:val="0"/>
        <w:kinsoku/>
        <w:wordWrap/>
        <w:overflowPunct/>
        <w:topLinePunct w:val="0"/>
        <w:autoSpaceDE/>
        <w:autoSpaceDN/>
        <w:bidi w:val="0"/>
        <w:spacing w:line="580" w:lineRule="exact"/>
        <w:ind w:left="0" w:leftChars="0" w:right="0" w:rightChars="0"/>
        <w:jc w:val="left"/>
        <w:textAlignment w:val="auto"/>
        <w:outlineLvl w:val="9"/>
        <w:rPr>
          <w:rFonts w:hint="eastAsia" w:ascii="楷体_GB2312" w:eastAsia="楷体_GB2312"/>
          <w:color w:val="auto"/>
          <w:sz w:val="32"/>
          <w:szCs w:val="32"/>
        </w:rPr>
      </w:pP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rPr>
        <w:t>第一条</w:t>
      </w:r>
      <w:r>
        <w:rPr>
          <w:rFonts w:hint="eastAsia" w:ascii="仿宋_GB2312" w:eastAsia="仿宋_GB2312"/>
          <w:color w:val="auto"/>
          <w:sz w:val="32"/>
          <w:szCs w:val="32"/>
        </w:rPr>
        <w:t xml:space="preserve">  为深化劳动人事争议源头治理，</w:t>
      </w:r>
      <w:r>
        <w:rPr>
          <w:rFonts w:hint="eastAsia" w:ascii="仿宋_GB2312" w:hAnsi="新宋体" w:eastAsia="仿宋_GB2312" w:cs="宋体"/>
          <w:color w:val="auto"/>
          <w:sz w:val="32"/>
          <w:szCs w:val="32"/>
          <w:lang w:eastAsia="zh-CN"/>
        </w:rPr>
        <w:t>进一步规范和引导用人单位劳动人事争议内部申诉和协商回应工作，</w:t>
      </w:r>
      <w:r>
        <w:rPr>
          <w:rFonts w:hint="eastAsia" w:ascii="仿宋_GB2312" w:eastAsia="仿宋_GB2312"/>
          <w:color w:val="auto"/>
          <w:sz w:val="32"/>
          <w:szCs w:val="32"/>
        </w:rPr>
        <w:t>增强协商调解在化解劳动人事争议中的基础性作用，</w:t>
      </w:r>
      <w:r>
        <w:rPr>
          <w:rFonts w:hint="eastAsia" w:ascii="仿宋_GB2312" w:hAnsi="仿宋_GB2312" w:eastAsia="仿宋_GB2312" w:cs="仿宋_GB2312"/>
          <w:color w:val="auto"/>
          <w:kern w:val="0"/>
          <w:sz w:val="32"/>
          <w:szCs w:val="32"/>
          <w:lang w:val="en-US" w:eastAsia="zh-CN" w:bidi="ar"/>
        </w:rPr>
        <w:t>进一步提高以协商调解处理争议案件数量在案件总量中的比重</w:t>
      </w:r>
      <w:r>
        <w:rPr>
          <w:rFonts w:hint="eastAsia" w:ascii="仿宋_GB2312" w:hAnsi="仿宋_GB2312" w:eastAsia="仿宋_GB2312" w:cs="仿宋_GB2312"/>
          <w:color w:val="auto"/>
          <w:sz w:val="32"/>
          <w:szCs w:val="32"/>
          <w:lang w:eastAsia="zh-CN"/>
        </w:rPr>
        <w:t>，</w:t>
      </w:r>
      <w:r>
        <w:rPr>
          <w:rFonts w:hint="eastAsia" w:ascii="仿宋_GB2312" w:eastAsia="仿宋_GB2312"/>
          <w:color w:val="auto"/>
          <w:sz w:val="32"/>
          <w:szCs w:val="32"/>
        </w:rPr>
        <w:t>根据《</w:t>
      </w:r>
      <w:r>
        <w:rPr>
          <w:rFonts w:hint="eastAsia" w:ascii="仿宋_GB2312" w:eastAsia="仿宋_GB2312"/>
          <w:color w:val="auto"/>
          <w:sz w:val="32"/>
          <w:szCs w:val="32"/>
          <w:lang w:eastAsia="zh-CN"/>
        </w:rPr>
        <w:t>中华人民共和国</w:t>
      </w:r>
      <w:r>
        <w:rPr>
          <w:rFonts w:hint="eastAsia" w:ascii="仿宋_GB2312" w:eastAsia="仿宋_GB2312"/>
          <w:color w:val="auto"/>
          <w:sz w:val="32"/>
          <w:szCs w:val="32"/>
        </w:rPr>
        <w:t>劳动争议调解仲裁法》《企业劳动争议协商调解规定》</w:t>
      </w:r>
      <w:r>
        <w:rPr>
          <w:rFonts w:hint="eastAsia" w:ascii="仿宋_GB2312" w:eastAsia="仿宋_GB2312"/>
          <w:color w:val="auto"/>
          <w:sz w:val="32"/>
          <w:szCs w:val="32"/>
          <w:lang w:eastAsia="zh-CN"/>
        </w:rPr>
        <w:t>（</w:t>
      </w:r>
      <w:r>
        <w:rPr>
          <w:rFonts w:hint="eastAsia" w:ascii="仿宋_GB2312" w:eastAsia="仿宋_GB2312"/>
          <w:color w:val="auto"/>
          <w:sz w:val="32"/>
          <w:szCs w:val="32"/>
          <w:lang w:val="en-US" w:eastAsia="zh-CN"/>
        </w:rPr>
        <w:t>2011年公布的</w:t>
      </w:r>
      <w:r>
        <w:rPr>
          <w:rFonts w:hint="eastAsia" w:ascii="仿宋_GB2312" w:eastAsia="仿宋_GB2312"/>
          <w:color w:val="auto"/>
          <w:sz w:val="32"/>
          <w:szCs w:val="32"/>
          <w:lang w:eastAsia="zh-CN"/>
        </w:rPr>
        <w:t>人力资源社会保障部令第</w:t>
      </w:r>
      <w:r>
        <w:rPr>
          <w:rFonts w:hint="eastAsia" w:ascii="仿宋_GB2312" w:eastAsia="仿宋_GB2312"/>
          <w:color w:val="auto"/>
          <w:sz w:val="32"/>
          <w:szCs w:val="32"/>
          <w:lang w:val="en-US" w:eastAsia="zh-CN"/>
        </w:rPr>
        <w:t>17号</w:t>
      </w:r>
      <w:r>
        <w:rPr>
          <w:rFonts w:hint="eastAsia" w:ascii="仿宋_GB2312" w:eastAsia="仿宋_GB2312"/>
          <w:color w:val="auto"/>
          <w:sz w:val="32"/>
          <w:szCs w:val="32"/>
          <w:lang w:eastAsia="zh-CN"/>
        </w:rPr>
        <w:t>）、</w:t>
      </w:r>
      <w:r>
        <w:rPr>
          <w:rFonts w:hint="eastAsia" w:ascii="仿宋_GB2312" w:eastAsia="仿宋_GB2312"/>
          <w:color w:val="auto"/>
          <w:sz w:val="32"/>
          <w:szCs w:val="32"/>
        </w:rPr>
        <w:t>《山东省劳动人事争议调解仲裁条例》《山东省人力资源和社会保障厅等4部门关于加强劳动争议预防协商机制建设的指导意见》（鲁人社发〔2019〕35号），结合山东实际</w:t>
      </w:r>
      <w:r>
        <w:rPr>
          <w:rFonts w:hint="default" w:ascii="仿宋_GB2312" w:eastAsia="仿宋_GB2312"/>
          <w:color w:val="auto"/>
          <w:sz w:val="32"/>
          <w:szCs w:val="32"/>
        </w:rPr>
        <w:t>，</w:t>
      </w:r>
      <w:r>
        <w:rPr>
          <w:rFonts w:hint="eastAsia" w:ascii="仿宋_GB2312" w:eastAsia="仿宋_GB2312"/>
          <w:color w:val="auto"/>
          <w:sz w:val="32"/>
          <w:szCs w:val="32"/>
        </w:rPr>
        <w:t>制定本参考指引。</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rPr>
        <w:t>第二条</w:t>
      </w:r>
      <w:r>
        <w:rPr>
          <w:rFonts w:hint="eastAsia" w:ascii="仿宋_GB2312" w:eastAsia="仿宋_GB2312"/>
          <w:color w:val="auto"/>
          <w:sz w:val="32"/>
          <w:szCs w:val="32"/>
        </w:rPr>
        <w:t xml:space="preserve">  本省行政区域内企业、个体经济组织、民办非企业单位、事业单位、社会团体等用人单位开展劳动人事争议内部申诉和协商回应工作，适用本参考指引。</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lang w:eastAsia="zh-CN"/>
        </w:rPr>
      </w:pPr>
      <w:r>
        <w:rPr>
          <w:rFonts w:hint="eastAsia" w:ascii="黑体" w:hAnsi="黑体" w:eastAsia="黑体" w:cs="黑体"/>
          <w:color w:val="auto"/>
          <w:sz w:val="32"/>
          <w:szCs w:val="32"/>
        </w:rPr>
        <w:t>第三条</w:t>
      </w:r>
      <w:r>
        <w:rPr>
          <w:rFonts w:hint="eastAsia" w:ascii="仿宋_GB2312" w:eastAsia="仿宋_GB2312"/>
          <w:color w:val="auto"/>
          <w:sz w:val="32"/>
          <w:szCs w:val="32"/>
        </w:rPr>
        <w:t xml:space="preserve">  劳动者认为用人单位在履行劳动合同（聘用合同）、集体合同，执行人力资源社会保障法律法规、用人单位规章制度方面存在问题的，可以向用人单位</w:t>
      </w:r>
      <w:r>
        <w:rPr>
          <w:rFonts w:hint="eastAsia" w:ascii="仿宋_GB2312" w:eastAsia="仿宋_GB2312"/>
          <w:color w:val="auto"/>
          <w:sz w:val="32"/>
          <w:szCs w:val="32"/>
          <w:lang w:eastAsia="zh-CN"/>
        </w:rPr>
        <w:t>申诉，也可以向用人单位</w:t>
      </w:r>
      <w:r>
        <w:rPr>
          <w:rFonts w:hint="eastAsia" w:ascii="仿宋_GB2312" w:eastAsia="仿宋_GB2312"/>
          <w:color w:val="auto"/>
          <w:sz w:val="32"/>
          <w:szCs w:val="32"/>
        </w:rPr>
        <w:t>劳动人事争议调解委员会（以下简称用人单位调解委员会）</w:t>
      </w:r>
      <w:r>
        <w:rPr>
          <w:rFonts w:hint="eastAsia" w:ascii="仿宋_GB2312" w:eastAsia="仿宋_GB2312"/>
          <w:color w:val="auto"/>
          <w:sz w:val="32"/>
          <w:szCs w:val="32"/>
          <w:lang w:eastAsia="zh-CN"/>
        </w:rPr>
        <w:t>反映。</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lang w:eastAsia="zh-CN"/>
        </w:rPr>
      </w:pPr>
      <w:r>
        <w:rPr>
          <w:rFonts w:hint="eastAsia" w:ascii="黑体" w:hAnsi="黑体" w:eastAsia="黑体" w:cs="黑体"/>
          <w:color w:val="auto"/>
          <w:sz w:val="32"/>
          <w:szCs w:val="32"/>
        </w:rPr>
        <w:t>第</w:t>
      </w:r>
      <w:r>
        <w:rPr>
          <w:rFonts w:hint="eastAsia" w:ascii="黑体" w:hAnsi="黑体" w:eastAsia="黑体" w:cs="黑体"/>
          <w:color w:val="auto"/>
          <w:sz w:val="32"/>
          <w:szCs w:val="32"/>
          <w:lang w:eastAsia="zh-CN"/>
        </w:rPr>
        <w:t>四</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仿宋_GB2312" w:eastAsia="仿宋_GB2312"/>
          <w:color w:val="auto"/>
          <w:sz w:val="32"/>
          <w:szCs w:val="32"/>
          <w:lang w:eastAsia="zh-CN"/>
        </w:rPr>
        <w:t>用人单位接到劳动者申诉后，</w:t>
      </w:r>
      <w:r>
        <w:rPr>
          <w:rFonts w:hint="eastAsia" w:ascii="仿宋_GB2312" w:eastAsia="仿宋_GB2312"/>
          <w:color w:val="auto"/>
          <w:sz w:val="32"/>
          <w:szCs w:val="32"/>
        </w:rPr>
        <w:t>应</w:t>
      </w:r>
      <w:r>
        <w:rPr>
          <w:rFonts w:hint="eastAsia" w:ascii="仿宋_GB2312" w:eastAsia="仿宋_GB2312"/>
          <w:color w:val="auto"/>
          <w:sz w:val="32"/>
          <w:szCs w:val="32"/>
          <w:lang w:eastAsia="zh-CN"/>
        </w:rPr>
        <w:t>当</w:t>
      </w:r>
      <w:r>
        <w:rPr>
          <w:rFonts w:hint="eastAsia" w:ascii="仿宋_GB2312" w:eastAsia="仿宋_GB2312"/>
          <w:color w:val="auto"/>
          <w:sz w:val="32"/>
          <w:szCs w:val="32"/>
        </w:rPr>
        <w:t>及时核实情况，</w:t>
      </w:r>
      <w:r>
        <w:rPr>
          <w:rFonts w:hint="eastAsia" w:ascii="仿宋_GB2312" w:eastAsia="仿宋_GB2312"/>
          <w:color w:val="auto"/>
          <w:sz w:val="32"/>
          <w:szCs w:val="32"/>
          <w:lang w:eastAsia="zh-CN"/>
        </w:rPr>
        <w:t>对存在的问题</w:t>
      </w:r>
      <w:r>
        <w:rPr>
          <w:rFonts w:hint="eastAsia" w:ascii="仿宋_GB2312" w:eastAsia="仿宋_GB2312"/>
          <w:color w:val="auto"/>
          <w:sz w:val="32"/>
          <w:szCs w:val="32"/>
        </w:rPr>
        <w:t>进行整改或者向劳动者做出说明。</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lang w:eastAsia="zh-CN"/>
        </w:rPr>
        <w:t>用人单位</w:t>
      </w:r>
      <w:r>
        <w:rPr>
          <w:rFonts w:hint="eastAsia" w:ascii="仿宋_GB2312" w:eastAsia="仿宋_GB2312"/>
          <w:color w:val="auto"/>
          <w:sz w:val="32"/>
          <w:szCs w:val="32"/>
        </w:rPr>
        <w:t>调解委员会</w:t>
      </w:r>
      <w:r>
        <w:rPr>
          <w:rFonts w:hint="eastAsia" w:ascii="仿宋_GB2312" w:eastAsia="仿宋_GB2312"/>
          <w:color w:val="auto"/>
          <w:sz w:val="32"/>
          <w:szCs w:val="32"/>
          <w:lang w:eastAsia="zh-CN"/>
        </w:rPr>
        <w:t>接到劳动者反映后，</w:t>
      </w:r>
      <w:r>
        <w:rPr>
          <w:rFonts w:hint="eastAsia" w:ascii="仿宋_GB2312" w:eastAsia="仿宋_GB2312"/>
          <w:color w:val="auto"/>
          <w:sz w:val="32"/>
          <w:szCs w:val="32"/>
        </w:rPr>
        <w:t>应</w:t>
      </w:r>
      <w:r>
        <w:rPr>
          <w:rFonts w:hint="eastAsia" w:ascii="仿宋_GB2312" w:eastAsia="仿宋_GB2312"/>
          <w:color w:val="auto"/>
          <w:sz w:val="32"/>
          <w:szCs w:val="32"/>
          <w:lang w:eastAsia="zh-CN"/>
        </w:rPr>
        <w:t>当</w:t>
      </w:r>
      <w:r>
        <w:rPr>
          <w:rFonts w:hint="eastAsia" w:ascii="仿宋_GB2312" w:eastAsia="仿宋_GB2312"/>
          <w:color w:val="auto"/>
          <w:sz w:val="32"/>
          <w:szCs w:val="32"/>
        </w:rPr>
        <w:t>及时核实情况，协调用人单位进行整改或者向劳动者做出说明。</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劳动者可以通过用人单位调解委员会向用人单位提出其他合理诉求。</w:t>
      </w:r>
      <w:r>
        <w:rPr>
          <w:rFonts w:hint="eastAsia" w:ascii="仿宋_GB2312" w:eastAsia="仿宋_GB2312"/>
          <w:color w:val="auto"/>
          <w:sz w:val="32"/>
          <w:szCs w:val="32"/>
          <w:lang w:eastAsia="zh-CN"/>
        </w:rPr>
        <w:t>用人单位</w:t>
      </w:r>
      <w:r>
        <w:rPr>
          <w:rFonts w:hint="eastAsia" w:ascii="仿宋_GB2312" w:eastAsia="仿宋_GB2312"/>
          <w:color w:val="auto"/>
          <w:sz w:val="32"/>
          <w:szCs w:val="32"/>
        </w:rPr>
        <w:t>调解委员会应当及时向用人单位转达，并向劳动者反馈情况。</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lang w:eastAsia="zh-CN"/>
        </w:rPr>
      </w:pPr>
      <w:r>
        <w:rPr>
          <w:rFonts w:hint="eastAsia" w:ascii="黑体" w:hAnsi="黑体" w:eastAsia="黑体" w:cs="黑体"/>
          <w:color w:val="auto"/>
          <w:sz w:val="32"/>
          <w:szCs w:val="32"/>
          <w:lang w:eastAsia="zh-CN"/>
        </w:rPr>
        <w:t>第五条</w:t>
      </w:r>
      <w:r>
        <w:rPr>
          <w:rFonts w:hint="eastAsia" w:ascii="仿宋_GB2312" w:eastAsia="仿宋_GB2312"/>
          <w:color w:val="auto"/>
          <w:sz w:val="32"/>
          <w:szCs w:val="32"/>
          <w:lang w:val="en-US" w:eastAsia="zh-CN"/>
        </w:rPr>
        <w:t xml:space="preserve">  </w:t>
      </w:r>
      <w:r>
        <w:rPr>
          <w:rFonts w:hint="eastAsia" w:ascii="仿宋_GB2312" w:eastAsia="仿宋_GB2312"/>
          <w:color w:val="auto"/>
          <w:sz w:val="32"/>
          <w:szCs w:val="32"/>
          <w:lang w:eastAsia="zh-CN"/>
        </w:rPr>
        <w:t>用人单位、用人单位调解委员会应当分别建立接待申诉、问题反映工作台帐，详细记录劳动者基本信息、申诉或反映问题的内容、办理结果等情况，实行首接负责制和“销号式”管理，确保“事事有着落、件件有回音”。</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eastAsia="zh-CN"/>
        </w:rPr>
        <w:t>六</w:t>
      </w:r>
      <w:r>
        <w:rPr>
          <w:rFonts w:hint="eastAsia" w:ascii="黑体" w:hAnsi="黑体" w:eastAsia="黑体" w:cs="黑体"/>
          <w:color w:val="auto"/>
          <w:sz w:val="32"/>
          <w:szCs w:val="32"/>
        </w:rPr>
        <w:t>条</w:t>
      </w:r>
      <w:r>
        <w:rPr>
          <w:rFonts w:hint="eastAsia" w:ascii="仿宋_GB2312" w:eastAsia="仿宋_GB2312"/>
          <w:color w:val="auto"/>
          <w:sz w:val="32"/>
          <w:szCs w:val="32"/>
        </w:rPr>
        <w:t xml:space="preserve">  发生劳动人事争议，一方当事人可以通过与另一方当事人约见、面谈等方式协商解决。</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eastAsia="zh-CN"/>
        </w:rPr>
        <w:t>七</w:t>
      </w:r>
      <w:r>
        <w:rPr>
          <w:rFonts w:hint="eastAsia" w:ascii="黑体" w:hAnsi="黑体" w:eastAsia="黑体" w:cs="黑体"/>
          <w:color w:val="auto"/>
          <w:sz w:val="32"/>
          <w:szCs w:val="32"/>
        </w:rPr>
        <w:t>条</w:t>
      </w:r>
      <w:r>
        <w:rPr>
          <w:rFonts w:hint="eastAsia" w:ascii="仿宋_GB2312" w:eastAsia="仿宋_GB2312"/>
          <w:color w:val="auto"/>
          <w:sz w:val="32"/>
          <w:szCs w:val="32"/>
        </w:rPr>
        <w:t xml:space="preserve">  协商劳动人事争议，应当根据事实和有关法律法规的规定，遵循平等、自愿、合法、公正、及时的原则。</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eastAsia="zh-CN"/>
        </w:rPr>
        <w:t>八</w:t>
      </w:r>
      <w:r>
        <w:rPr>
          <w:rFonts w:hint="eastAsia" w:ascii="黑体" w:hAnsi="黑体" w:eastAsia="黑体" w:cs="黑体"/>
          <w:color w:val="auto"/>
          <w:sz w:val="32"/>
          <w:szCs w:val="32"/>
        </w:rPr>
        <w:t>条</w:t>
      </w:r>
      <w:r>
        <w:rPr>
          <w:rFonts w:hint="eastAsia" w:ascii="仿宋_GB2312" w:eastAsia="仿宋_GB2312"/>
          <w:color w:val="auto"/>
          <w:sz w:val="32"/>
          <w:szCs w:val="32"/>
        </w:rPr>
        <w:t xml:space="preserve">  劳动者可以要求用人单位工会参与或者协助其与用人单位进行协商。用人单位工会也可以主动参与劳动人事争议的协商处理，维护劳动者合法权益。</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劳动者可以委托其他组织或者个人作为其代表进行协商。</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eastAsia="zh-CN"/>
        </w:rPr>
        <w:t>九</w:t>
      </w:r>
      <w:r>
        <w:rPr>
          <w:rFonts w:hint="eastAsia" w:ascii="黑体" w:hAnsi="黑体" w:eastAsia="黑体" w:cs="黑体"/>
          <w:color w:val="auto"/>
          <w:sz w:val="32"/>
          <w:szCs w:val="32"/>
        </w:rPr>
        <w:t>条</w:t>
      </w:r>
      <w:r>
        <w:rPr>
          <w:rFonts w:hint="eastAsia" w:ascii="仿宋_GB2312" w:eastAsia="仿宋_GB2312"/>
          <w:color w:val="auto"/>
          <w:sz w:val="32"/>
          <w:szCs w:val="32"/>
        </w:rPr>
        <w:t xml:space="preserve">  一方当事人提出协商要求后，另一方当事人应积极做出口头或者书面回应。</w:t>
      </w:r>
      <w:r>
        <w:rPr>
          <w:rFonts w:hint="eastAsia" w:ascii="仿宋_GB2312" w:eastAsia="仿宋_GB2312"/>
          <w:color w:val="auto"/>
          <w:sz w:val="32"/>
          <w:szCs w:val="32"/>
          <w:lang w:eastAsia="zh-CN"/>
        </w:rPr>
        <w:t>五</w:t>
      </w:r>
      <w:r>
        <w:rPr>
          <w:rFonts w:hint="eastAsia" w:ascii="仿宋_GB2312" w:eastAsia="仿宋_GB2312"/>
          <w:color w:val="auto"/>
          <w:sz w:val="32"/>
          <w:szCs w:val="32"/>
        </w:rPr>
        <w:t>日内不做出回应的，视为不愿协商。</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协商的期限由当事人书面约定，在约定的期限内没有达成一致的，视为协商不成。当事人可以书面约定延长期限。</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eastAsia="zh-CN"/>
        </w:rPr>
        <w:t>十</w:t>
      </w:r>
      <w:r>
        <w:rPr>
          <w:rFonts w:hint="eastAsia" w:ascii="黑体" w:hAnsi="黑体" w:eastAsia="黑体" w:cs="黑体"/>
          <w:color w:val="auto"/>
          <w:sz w:val="32"/>
          <w:szCs w:val="32"/>
        </w:rPr>
        <w:t>条</w:t>
      </w:r>
      <w:r>
        <w:rPr>
          <w:rFonts w:hint="eastAsia" w:ascii="仿宋_GB2312" w:eastAsia="仿宋_GB2312"/>
          <w:color w:val="auto"/>
          <w:sz w:val="32"/>
          <w:szCs w:val="32"/>
        </w:rPr>
        <w:t xml:space="preserve">  协商达成一致，应</w:t>
      </w:r>
      <w:r>
        <w:rPr>
          <w:rFonts w:hint="eastAsia" w:ascii="仿宋_GB2312" w:eastAsia="仿宋_GB2312"/>
          <w:color w:val="auto"/>
          <w:sz w:val="32"/>
          <w:szCs w:val="32"/>
          <w:lang w:eastAsia="zh-CN"/>
        </w:rPr>
        <w:t>当</w:t>
      </w:r>
      <w:r>
        <w:rPr>
          <w:rFonts w:hint="eastAsia" w:ascii="仿宋_GB2312" w:eastAsia="仿宋_GB2312"/>
          <w:color w:val="auto"/>
          <w:sz w:val="32"/>
          <w:szCs w:val="32"/>
        </w:rPr>
        <w:t>签订书面和解协议。和解协议对双方当事人具有约束力，当事人应</w:t>
      </w:r>
      <w:r>
        <w:rPr>
          <w:rFonts w:hint="eastAsia" w:ascii="仿宋_GB2312" w:eastAsia="仿宋_GB2312"/>
          <w:color w:val="auto"/>
          <w:sz w:val="32"/>
          <w:szCs w:val="32"/>
          <w:lang w:eastAsia="zh-CN"/>
        </w:rPr>
        <w:t>当</w:t>
      </w:r>
      <w:r>
        <w:rPr>
          <w:rFonts w:hint="eastAsia" w:ascii="仿宋_GB2312" w:eastAsia="仿宋_GB2312"/>
          <w:color w:val="auto"/>
          <w:sz w:val="32"/>
          <w:szCs w:val="32"/>
        </w:rPr>
        <w:t>履行。用人单位调解委员会应</w:t>
      </w:r>
      <w:r>
        <w:rPr>
          <w:rFonts w:hint="eastAsia" w:ascii="仿宋_GB2312" w:eastAsia="仿宋_GB2312"/>
          <w:color w:val="auto"/>
          <w:sz w:val="32"/>
          <w:szCs w:val="32"/>
          <w:lang w:eastAsia="zh-CN"/>
        </w:rPr>
        <w:t>当对其引导、见证协商过程达成和解协议的，在征得双方当事人同意后</w:t>
      </w:r>
      <w:r>
        <w:rPr>
          <w:rFonts w:hint="eastAsia" w:ascii="仿宋_GB2312" w:eastAsia="仿宋_GB2312"/>
          <w:color w:val="auto"/>
          <w:sz w:val="32"/>
          <w:szCs w:val="32"/>
        </w:rPr>
        <w:t>将和解协议归档，建立协商档案。</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经仲裁庭审查，和解协议程序和内容合法有效的，仲裁庭可以将其作为证据使用。但是，当事人为达成和解的目的作出妥协所涉及的对争议事实的认可，不得在其后的仲裁中作为对其不利的证据。</w:t>
      </w:r>
    </w:p>
    <w:p>
      <w:pPr>
        <w:keepNext w:val="0"/>
        <w:keepLines w:val="0"/>
        <w:pageBreakBefore w:val="0"/>
        <w:widowControl w:val="0"/>
        <w:numPr>
          <w:ilvl w:val="-1"/>
          <w:numId w:val="0"/>
        </w:numPr>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lang w:val="en-US" w:eastAsia="zh-CN"/>
        </w:rPr>
        <w:t>第十一条</w:t>
      </w:r>
      <w:r>
        <w:rPr>
          <w:rFonts w:hint="eastAsia" w:ascii="仿宋_GB2312" w:eastAsia="仿宋_GB2312"/>
          <w:color w:val="auto"/>
          <w:sz w:val="32"/>
          <w:szCs w:val="32"/>
          <w:lang w:val="en-US" w:eastAsia="zh-CN"/>
        </w:rPr>
        <w:t xml:space="preserve">  </w:t>
      </w:r>
      <w:r>
        <w:rPr>
          <w:rFonts w:hint="eastAsia" w:ascii="仿宋_GB2312" w:eastAsia="仿宋_GB2312"/>
          <w:color w:val="auto"/>
          <w:sz w:val="32"/>
          <w:szCs w:val="32"/>
        </w:rPr>
        <w:t>发生劳动人事争议，当事人不愿协商、协商不成或者达成和解协议后，一方当事人在约定的期限内不履行和解协议的，可以向用人单位调解委员会或者其他依法设立的调解组织申请调解，也可以向劳动人事争议仲裁委员会（以下简称仲裁委员会）申请仲裁。</w:t>
      </w:r>
    </w:p>
    <w:p>
      <w:pPr>
        <w:keepNext w:val="0"/>
        <w:keepLines w:val="0"/>
        <w:pageBreakBefore w:val="0"/>
        <w:widowControl w:val="0"/>
        <w:numPr>
          <w:ilvl w:val="-1"/>
          <w:numId w:val="0"/>
        </w:numPr>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fill="FFFFFF"/>
          <w:lang w:eastAsia="zh-CN"/>
        </w:rPr>
        <w:t>达成调解协议书的，</w:t>
      </w:r>
      <w:r>
        <w:rPr>
          <w:rFonts w:hint="eastAsia" w:ascii="仿宋_GB2312" w:hAnsi="仿宋_GB2312" w:eastAsia="仿宋_GB2312" w:cs="仿宋_GB2312"/>
          <w:i w:val="0"/>
          <w:caps w:val="0"/>
          <w:color w:val="auto"/>
          <w:spacing w:val="0"/>
          <w:sz w:val="32"/>
          <w:szCs w:val="32"/>
          <w:shd w:val="clear" w:fill="FFFFFF"/>
        </w:rPr>
        <w:t>双方当事人可以自调解协议书生效之日起十五日内，共同向有管辖权的仲裁委员会提出仲裁审查申请。仲裁委员会经审查认为调解协议书形式和内容合法有效的，应当依法出具仲裁调解书。</w:t>
      </w:r>
    </w:p>
    <w:p>
      <w:pPr>
        <w:keepNext w:val="0"/>
        <w:keepLines w:val="0"/>
        <w:pageBreakBefore w:val="0"/>
        <w:widowControl w:val="0"/>
        <w:numPr>
          <w:ilvl w:val="0"/>
          <w:numId w:val="0"/>
        </w:numPr>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lang w:val="en-US" w:eastAsia="zh-CN"/>
        </w:rPr>
        <w:t>第十二条</w:t>
      </w:r>
      <w:r>
        <w:rPr>
          <w:rFonts w:hint="eastAsia" w:ascii="仿宋_GB2312" w:eastAsia="仿宋_GB2312"/>
          <w:color w:val="auto"/>
          <w:sz w:val="32"/>
          <w:szCs w:val="32"/>
          <w:lang w:val="en-US" w:eastAsia="zh-CN"/>
        </w:rPr>
        <w:t xml:space="preserve">  用人单位调解委员会在接待、办理劳动者反映问题及引导、见证协商过程中，应密切关注劳动人事争议风险性问题发展趋势，对可能引发集体争议、集体上访或群体性事件的苗头性、倾向性问题，第一时间告知用人单位、当地人力资源社会保障部门、有管辖权的仲裁委员会。</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eastAsia="zh-CN"/>
        </w:rPr>
        <w:t>三</w:t>
      </w:r>
      <w:r>
        <w:rPr>
          <w:rFonts w:hint="eastAsia" w:ascii="黑体" w:hAnsi="黑体" w:eastAsia="黑体" w:cs="黑体"/>
          <w:color w:val="auto"/>
          <w:sz w:val="32"/>
          <w:szCs w:val="32"/>
        </w:rPr>
        <w:t>条</w:t>
      </w:r>
      <w:r>
        <w:rPr>
          <w:rFonts w:hint="eastAsia" w:ascii="仿宋_GB2312" w:eastAsia="仿宋_GB2312"/>
          <w:color w:val="auto"/>
          <w:sz w:val="32"/>
          <w:szCs w:val="32"/>
        </w:rPr>
        <w:t xml:space="preserve">  仲裁委员会应强化引导协商、调解职能，调解委员会应强化引导协商职能，</w:t>
      </w:r>
      <w:r>
        <w:rPr>
          <w:rFonts w:hint="eastAsia" w:ascii="仿宋_GB2312" w:eastAsia="仿宋_GB2312"/>
          <w:color w:val="auto"/>
          <w:sz w:val="32"/>
          <w:szCs w:val="32"/>
          <w:lang w:eastAsia="zh-CN"/>
        </w:rPr>
        <w:t>推动协商流程化、场景化及协商结果可视化，</w:t>
      </w:r>
      <w:r>
        <w:rPr>
          <w:rFonts w:hint="eastAsia" w:ascii="仿宋_GB2312" w:eastAsia="仿宋_GB2312"/>
          <w:color w:val="auto"/>
          <w:sz w:val="32"/>
          <w:szCs w:val="32"/>
        </w:rPr>
        <w:t>优化</w:t>
      </w:r>
      <w:r>
        <w:rPr>
          <w:rFonts w:hint="eastAsia" w:ascii="仿宋_GB2312" w:eastAsia="仿宋_GB2312"/>
          <w:color w:val="auto"/>
          <w:sz w:val="32"/>
          <w:szCs w:val="32"/>
          <w:lang w:eastAsia="zh-CN"/>
        </w:rPr>
        <w:t>塑成协、调、裁一体化</w:t>
      </w:r>
      <w:r>
        <w:rPr>
          <w:rFonts w:hint="eastAsia" w:ascii="仿宋_GB2312" w:eastAsia="仿宋_GB2312"/>
          <w:color w:val="auto"/>
          <w:sz w:val="32"/>
          <w:szCs w:val="32"/>
        </w:rPr>
        <w:t>服务流程，最大限度通过协商、调解柔性化解劳动人事争议。</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hAnsi="仿宋_GB2312" w:eastAsia="仿宋_GB2312" w:cs="仿宋_GB2312"/>
          <w:b w:val="0"/>
          <w:bCs w:val="0"/>
          <w:color w:val="auto"/>
          <w:sz w:val="32"/>
          <w:szCs w:val="32"/>
        </w:rPr>
      </w:pPr>
      <w:r>
        <w:rPr>
          <w:rFonts w:hint="eastAsia" w:ascii="黑体" w:hAnsi="黑体" w:eastAsia="黑体" w:cs="黑体"/>
          <w:color w:val="auto"/>
          <w:sz w:val="32"/>
          <w:szCs w:val="32"/>
          <w:lang w:val="en-US" w:eastAsia="zh-CN"/>
        </w:rPr>
        <w:t>第十四条</w:t>
      </w:r>
      <w:r>
        <w:rPr>
          <w:rFonts w:hint="eastAsia" w:ascii="仿宋_GB2312" w:eastAsia="仿宋_GB2312"/>
          <w:color w:val="auto"/>
          <w:sz w:val="32"/>
          <w:szCs w:val="32"/>
          <w:lang w:val="en-US" w:eastAsia="zh-CN"/>
        </w:rPr>
        <w:t xml:space="preserve">  </w:t>
      </w:r>
      <w:r>
        <w:rPr>
          <w:rFonts w:hint="eastAsia" w:ascii="仿宋_GB2312" w:hAnsi="仿宋_GB2312" w:eastAsia="仿宋_GB2312" w:cs="仿宋_GB2312"/>
          <w:color w:val="auto"/>
          <w:kern w:val="0"/>
          <w:sz w:val="32"/>
          <w:szCs w:val="32"/>
          <w:lang w:val="en-US" w:eastAsia="zh-CN"/>
        </w:rPr>
        <w:t>健全</w:t>
      </w:r>
      <w:r>
        <w:rPr>
          <w:rFonts w:hint="eastAsia" w:ascii="仿宋_GB2312" w:hAnsi="仿宋_GB2312" w:eastAsia="仿宋_GB2312" w:cs="仿宋_GB2312"/>
          <w:b w:val="0"/>
          <w:bCs w:val="0"/>
          <w:color w:val="auto"/>
          <w:sz w:val="32"/>
          <w:szCs w:val="32"/>
        </w:rPr>
        <w:t>完善专业性劳动人事争议调解机制</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充分发挥乡镇（街道）</w:t>
      </w:r>
      <w:r>
        <w:rPr>
          <w:rFonts w:hint="eastAsia" w:ascii="仿宋_GB2312" w:hAnsi="仿宋_GB2312" w:eastAsia="仿宋_GB2312" w:cs="仿宋_GB2312"/>
          <w:b w:val="0"/>
          <w:bCs w:val="0"/>
          <w:color w:val="auto"/>
          <w:sz w:val="32"/>
          <w:szCs w:val="32"/>
          <w:lang w:eastAsia="zh-CN"/>
        </w:rPr>
        <w:t>劳动人事争议</w:t>
      </w:r>
      <w:r>
        <w:rPr>
          <w:rFonts w:hint="eastAsia" w:ascii="仿宋_GB2312" w:hAnsi="仿宋_GB2312" w:eastAsia="仿宋_GB2312" w:cs="仿宋_GB2312"/>
          <w:b w:val="0"/>
          <w:bCs w:val="0"/>
          <w:color w:val="auto"/>
          <w:sz w:val="32"/>
          <w:szCs w:val="32"/>
        </w:rPr>
        <w:t>调解组织作用，</w:t>
      </w:r>
      <w:r>
        <w:rPr>
          <w:rFonts w:hint="eastAsia" w:ascii="仿宋_GB2312" w:hAnsi="仿宋_GB2312" w:eastAsia="仿宋_GB2312" w:cs="仿宋_GB2312"/>
          <w:b w:val="0"/>
          <w:bCs w:val="0"/>
          <w:color w:val="auto"/>
          <w:sz w:val="32"/>
          <w:szCs w:val="32"/>
          <w:lang w:eastAsia="zh-CN"/>
        </w:rPr>
        <w:t>加强</w:t>
      </w:r>
      <w:r>
        <w:rPr>
          <w:rFonts w:hint="eastAsia" w:ascii="仿宋_GB2312" w:hAnsi="仿宋_GB2312" w:eastAsia="仿宋_GB2312" w:cs="仿宋_GB2312"/>
          <w:b w:val="0"/>
          <w:bCs w:val="0"/>
          <w:color w:val="auto"/>
          <w:sz w:val="32"/>
          <w:szCs w:val="32"/>
        </w:rPr>
        <w:t>企业</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事业单位劳动</w:t>
      </w:r>
      <w:r>
        <w:rPr>
          <w:rFonts w:hint="eastAsia" w:ascii="仿宋_GB2312" w:hAnsi="仿宋_GB2312" w:eastAsia="仿宋_GB2312" w:cs="仿宋_GB2312"/>
          <w:b w:val="0"/>
          <w:bCs w:val="0"/>
          <w:color w:val="auto"/>
          <w:sz w:val="32"/>
          <w:szCs w:val="32"/>
          <w:lang w:eastAsia="zh-CN"/>
        </w:rPr>
        <w:t>人事</w:t>
      </w:r>
      <w:r>
        <w:rPr>
          <w:rFonts w:hint="eastAsia" w:ascii="仿宋_GB2312" w:hAnsi="仿宋_GB2312" w:eastAsia="仿宋_GB2312" w:cs="仿宋_GB2312"/>
          <w:b w:val="0"/>
          <w:bCs w:val="0"/>
          <w:color w:val="auto"/>
          <w:sz w:val="32"/>
          <w:szCs w:val="32"/>
        </w:rPr>
        <w:t>争议调解</w:t>
      </w:r>
      <w:r>
        <w:rPr>
          <w:rFonts w:hint="eastAsia" w:ascii="仿宋_GB2312" w:hAnsi="仿宋_GB2312" w:eastAsia="仿宋_GB2312" w:cs="仿宋_GB2312"/>
          <w:b w:val="0"/>
          <w:bCs w:val="0"/>
          <w:color w:val="auto"/>
          <w:sz w:val="32"/>
          <w:szCs w:val="32"/>
          <w:lang w:eastAsia="zh-CN"/>
        </w:rPr>
        <w:t>组织</w:t>
      </w:r>
      <w:r>
        <w:rPr>
          <w:rFonts w:hint="eastAsia" w:ascii="仿宋_GB2312" w:hAnsi="仿宋_GB2312" w:eastAsia="仿宋_GB2312" w:cs="仿宋_GB2312"/>
          <w:b w:val="0"/>
          <w:bCs w:val="0"/>
          <w:color w:val="auto"/>
          <w:sz w:val="32"/>
          <w:szCs w:val="32"/>
        </w:rPr>
        <w:t>建设，推动建立行业性、区域性</w:t>
      </w:r>
      <w:r>
        <w:rPr>
          <w:rFonts w:hint="eastAsia" w:ascii="仿宋_GB2312" w:hAnsi="仿宋_GB2312" w:eastAsia="仿宋_GB2312" w:cs="仿宋_GB2312"/>
          <w:b w:val="0"/>
          <w:bCs w:val="0"/>
          <w:color w:val="auto"/>
          <w:sz w:val="32"/>
          <w:szCs w:val="32"/>
          <w:lang w:eastAsia="zh-CN"/>
        </w:rPr>
        <w:t>、新就业形态劳动争议</w:t>
      </w:r>
      <w:r>
        <w:rPr>
          <w:rFonts w:hint="eastAsia" w:ascii="仿宋_GB2312" w:hAnsi="仿宋_GB2312" w:eastAsia="仿宋_GB2312" w:cs="仿宋_GB2312"/>
          <w:b w:val="0"/>
          <w:bCs w:val="0"/>
          <w:color w:val="auto"/>
          <w:sz w:val="32"/>
          <w:szCs w:val="32"/>
        </w:rPr>
        <w:t>调解组织，</w:t>
      </w:r>
      <w:r>
        <w:rPr>
          <w:rFonts w:hint="eastAsia" w:ascii="仿宋_GB2312" w:hAnsi="仿宋_GB2312" w:eastAsia="仿宋_GB2312" w:cs="仿宋_GB2312"/>
          <w:b w:val="0"/>
          <w:bCs w:val="0"/>
          <w:color w:val="auto"/>
          <w:sz w:val="32"/>
          <w:szCs w:val="32"/>
          <w:lang w:eastAsia="zh-CN"/>
        </w:rPr>
        <w:t>有条件的</w:t>
      </w:r>
      <w:r>
        <w:rPr>
          <w:rFonts w:hint="eastAsia" w:ascii="仿宋_GB2312" w:hAnsi="仿宋_GB2312" w:eastAsia="仿宋_GB2312" w:cs="仿宋_GB2312"/>
          <w:b w:val="0"/>
          <w:bCs w:val="0"/>
          <w:color w:val="auto"/>
          <w:sz w:val="32"/>
          <w:szCs w:val="32"/>
        </w:rPr>
        <w:t>主管部门</w:t>
      </w:r>
      <w:r>
        <w:rPr>
          <w:rFonts w:hint="eastAsia" w:ascii="仿宋_GB2312" w:hAnsi="仿宋_GB2312" w:eastAsia="仿宋_GB2312" w:cs="仿宋_GB2312"/>
          <w:b w:val="0"/>
          <w:bCs w:val="0"/>
          <w:color w:val="auto"/>
          <w:sz w:val="32"/>
          <w:szCs w:val="32"/>
          <w:lang w:eastAsia="zh-CN"/>
        </w:rPr>
        <w:t>也可成立劳动人事争议调解组织，为开展协商、调解工作提供坚实组织体系保障</w:t>
      </w:r>
      <w:r>
        <w:rPr>
          <w:rFonts w:hint="eastAsia" w:ascii="仿宋_GB2312" w:hAnsi="仿宋_GB2312" w:eastAsia="仿宋_GB2312" w:cs="仿宋_GB2312"/>
          <w:b w:val="0"/>
          <w:bCs w:val="0"/>
          <w:color w:val="auto"/>
          <w:sz w:val="32"/>
          <w:szCs w:val="32"/>
        </w:rPr>
        <w:t>。</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黑体" w:hAnsi="宋体" w:eastAsia="黑体" w:cs="宋体"/>
          <w:snapToGrid w:val="0"/>
          <w:color w:val="auto"/>
          <w:kern w:val="0"/>
          <w:sz w:val="32"/>
          <w:szCs w:val="32"/>
        </w:rPr>
        <w:t>第</w:t>
      </w:r>
      <w:r>
        <w:rPr>
          <w:rFonts w:hint="eastAsia" w:ascii="黑体" w:hAnsi="宋体" w:eastAsia="黑体" w:cs="宋体"/>
          <w:snapToGrid w:val="0"/>
          <w:color w:val="auto"/>
          <w:kern w:val="0"/>
          <w:sz w:val="32"/>
          <w:szCs w:val="32"/>
          <w:lang w:eastAsia="zh-CN"/>
        </w:rPr>
        <w:t>十五</w:t>
      </w:r>
      <w:r>
        <w:rPr>
          <w:rFonts w:hint="eastAsia" w:ascii="黑体" w:hAnsi="宋体" w:eastAsia="黑体" w:cs="宋体"/>
          <w:snapToGrid w:val="0"/>
          <w:color w:val="auto"/>
          <w:kern w:val="0"/>
          <w:sz w:val="32"/>
          <w:szCs w:val="32"/>
        </w:rPr>
        <w:t>条</w:t>
      </w:r>
      <w:r>
        <w:rPr>
          <w:rFonts w:hint="eastAsia" w:ascii="仿宋_GB2312" w:hAnsi="宋体" w:eastAsia="仿宋_GB2312" w:cs="宋体"/>
          <w:snapToGrid w:val="0"/>
          <w:color w:val="auto"/>
          <w:kern w:val="0"/>
          <w:sz w:val="32"/>
          <w:szCs w:val="32"/>
        </w:rPr>
        <w:t xml:space="preserve">  </w:t>
      </w:r>
      <w:r>
        <w:rPr>
          <w:rFonts w:hint="eastAsia" w:ascii="仿宋_GB2312" w:hAnsi="宋体" w:eastAsia="仿宋_GB2312" w:cs="宋体"/>
          <w:snapToGrid w:val="0"/>
          <w:color w:val="auto"/>
          <w:kern w:val="0"/>
          <w:sz w:val="32"/>
          <w:szCs w:val="32"/>
          <w:lang w:eastAsia="zh-CN"/>
        </w:rPr>
        <w:t>对因客观原因尚未建立劳动人事争议调解委员会的用人单位且未配备调解员的，应明</w:t>
      </w:r>
      <w:r>
        <w:rPr>
          <w:rFonts w:hint="eastAsia" w:ascii="仿宋_GB2312" w:hAnsi="宋体" w:eastAsia="仿宋_GB2312" w:cs="宋体"/>
          <w:snapToGrid w:val="0"/>
          <w:color w:val="auto"/>
          <w:kern w:val="0"/>
          <w:sz w:val="32"/>
          <w:szCs w:val="32"/>
        </w:rPr>
        <w:t>确</w:t>
      </w:r>
      <w:r>
        <w:rPr>
          <w:rFonts w:hint="eastAsia" w:ascii="仿宋_GB2312" w:hAnsi="宋体" w:eastAsia="仿宋_GB2312" w:cs="宋体"/>
          <w:snapToGrid w:val="0"/>
          <w:color w:val="auto"/>
          <w:kern w:val="0"/>
          <w:sz w:val="32"/>
          <w:szCs w:val="32"/>
          <w:lang w:val="en-US" w:eastAsia="zh-CN"/>
        </w:rPr>
        <w:t>1-2名</w:t>
      </w:r>
      <w:r>
        <w:rPr>
          <w:rFonts w:hint="eastAsia" w:ascii="仿宋_GB2312" w:hAnsi="宋体" w:eastAsia="仿宋_GB2312" w:cs="宋体"/>
          <w:snapToGrid w:val="0"/>
          <w:color w:val="auto"/>
          <w:kern w:val="0"/>
          <w:sz w:val="32"/>
          <w:szCs w:val="32"/>
        </w:rPr>
        <w:t>劳动人事争议处理协调联络员从事</w:t>
      </w:r>
      <w:r>
        <w:rPr>
          <w:rFonts w:hint="eastAsia" w:ascii="仿宋_GB2312" w:hAnsi="宋体" w:eastAsia="仿宋_GB2312" w:cs="宋体"/>
          <w:snapToGrid w:val="0"/>
          <w:color w:val="auto"/>
          <w:kern w:val="0"/>
          <w:sz w:val="32"/>
          <w:szCs w:val="32"/>
          <w:lang w:eastAsia="zh-CN"/>
        </w:rPr>
        <w:t>本单位内部</w:t>
      </w:r>
      <w:r>
        <w:rPr>
          <w:rFonts w:hint="eastAsia" w:ascii="仿宋_GB2312" w:hAnsi="宋体" w:eastAsia="仿宋_GB2312" w:cs="宋体"/>
          <w:snapToGrid w:val="0"/>
          <w:color w:val="auto"/>
          <w:kern w:val="0"/>
          <w:sz w:val="32"/>
          <w:szCs w:val="32"/>
        </w:rPr>
        <w:t>劳动人事争议</w:t>
      </w:r>
      <w:r>
        <w:rPr>
          <w:rFonts w:hint="eastAsia" w:ascii="仿宋_GB2312" w:hAnsi="宋体" w:eastAsia="仿宋_GB2312" w:cs="宋体"/>
          <w:snapToGrid w:val="0"/>
          <w:color w:val="auto"/>
          <w:kern w:val="0"/>
          <w:sz w:val="32"/>
          <w:szCs w:val="32"/>
          <w:lang w:eastAsia="zh-CN"/>
        </w:rPr>
        <w:t>预防和引导协商</w:t>
      </w:r>
      <w:r>
        <w:rPr>
          <w:rFonts w:hint="eastAsia" w:ascii="仿宋_GB2312" w:hAnsi="宋体" w:eastAsia="仿宋_GB2312" w:cs="宋体"/>
          <w:snapToGrid w:val="0"/>
          <w:color w:val="auto"/>
          <w:kern w:val="0"/>
          <w:sz w:val="32"/>
          <w:szCs w:val="32"/>
        </w:rPr>
        <w:t>工作。</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黑体" w:hAnsi="宋体" w:eastAsia="黑体" w:cs="宋体"/>
          <w:snapToGrid w:val="0"/>
          <w:color w:val="auto"/>
          <w:kern w:val="0"/>
          <w:sz w:val="32"/>
          <w:szCs w:val="32"/>
        </w:rPr>
        <w:t>第</w:t>
      </w:r>
      <w:r>
        <w:rPr>
          <w:rFonts w:hint="eastAsia" w:ascii="黑体" w:hAnsi="宋体" w:eastAsia="黑体" w:cs="宋体"/>
          <w:snapToGrid w:val="0"/>
          <w:color w:val="auto"/>
          <w:kern w:val="0"/>
          <w:sz w:val="32"/>
          <w:szCs w:val="32"/>
          <w:lang w:eastAsia="zh-CN"/>
        </w:rPr>
        <w:t>十六条</w:t>
      </w:r>
      <w:r>
        <w:rPr>
          <w:rFonts w:hint="eastAsia" w:ascii="仿宋_GB2312" w:hAnsi="宋体" w:eastAsia="仿宋_GB2312" w:cs="宋体"/>
          <w:snapToGrid w:val="0"/>
          <w:color w:val="auto"/>
          <w:kern w:val="0"/>
          <w:sz w:val="32"/>
          <w:szCs w:val="32"/>
        </w:rPr>
        <w:t xml:space="preserve">  协调联络员应具备的基本条件：</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（一）认真贯彻执行党的路线、方针、政策，法治观念较强，依法办事，公道正派；</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（二）熟悉劳动人事法律法规政策，具有一定的法律知识，熟悉本单位劳动人事工作和所属人员状况；</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（三）具有较强的思想政治工作经验和组织协调能力。</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黑体" w:hAnsi="宋体" w:eastAsia="黑体" w:cs="宋体"/>
          <w:snapToGrid w:val="0"/>
          <w:color w:val="auto"/>
          <w:kern w:val="0"/>
          <w:sz w:val="32"/>
          <w:szCs w:val="32"/>
        </w:rPr>
        <w:t>第</w:t>
      </w:r>
      <w:r>
        <w:rPr>
          <w:rFonts w:hint="eastAsia" w:ascii="黑体" w:hAnsi="宋体" w:eastAsia="黑体" w:cs="宋体"/>
          <w:snapToGrid w:val="0"/>
          <w:color w:val="auto"/>
          <w:kern w:val="0"/>
          <w:sz w:val="32"/>
          <w:szCs w:val="32"/>
          <w:lang w:eastAsia="zh-CN"/>
        </w:rPr>
        <w:t>十七</w:t>
      </w:r>
      <w:r>
        <w:rPr>
          <w:rFonts w:hint="eastAsia" w:ascii="黑体" w:hAnsi="宋体" w:eastAsia="黑体" w:cs="宋体"/>
          <w:snapToGrid w:val="0"/>
          <w:color w:val="auto"/>
          <w:kern w:val="0"/>
          <w:sz w:val="32"/>
          <w:szCs w:val="32"/>
        </w:rPr>
        <w:t>条</w:t>
      </w:r>
      <w:r>
        <w:rPr>
          <w:rFonts w:hint="eastAsia" w:ascii="仿宋_GB2312" w:hAnsi="宋体" w:eastAsia="仿宋_GB2312" w:cs="宋体"/>
          <w:snapToGrid w:val="0"/>
          <w:color w:val="auto"/>
          <w:kern w:val="0"/>
          <w:sz w:val="32"/>
          <w:szCs w:val="32"/>
        </w:rPr>
        <w:t xml:space="preserve">  协调联络员应履行的主要职责：</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（一）认真宣传和贯彻执行劳动人事争议调解仲裁等相关法律法规政策；</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（二）配合、协助仲裁委员会处理本单位发生的劳动人事争议，掌握本单位劳动人事争议动态，向</w:t>
      </w:r>
      <w:r>
        <w:rPr>
          <w:rFonts w:hint="eastAsia" w:ascii="仿宋_GB2312" w:hAnsi="宋体" w:eastAsia="仿宋_GB2312" w:cs="宋体"/>
          <w:snapToGrid w:val="0"/>
          <w:color w:val="auto"/>
          <w:kern w:val="0"/>
          <w:sz w:val="32"/>
          <w:szCs w:val="32"/>
          <w:lang w:eastAsia="zh-CN"/>
        </w:rPr>
        <w:t>本单位及时反映</w:t>
      </w:r>
      <w:r>
        <w:rPr>
          <w:rFonts w:hint="eastAsia" w:ascii="仿宋_GB2312" w:hAnsi="宋体" w:eastAsia="仿宋_GB2312" w:cs="宋体"/>
          <w:snapToGrid w:val="0"/>
          <w:color w:val="auto"/>
          <w:kern w:val="0"/>
          <w:sz w:val="32"/>
          <w:szCs w:val="32"/>
        </w:rPr>
        <w:t>情况</w:t>
      </w:r>
      <w:r>
        <w:rPr>
          <w:rFonts w:hint="eastAsia" w:ascii="仿宋_GB2312" w:hAnsi="宋体" w:eastAsia="仿宋_GB2312" w:cs="宋体"/>
          <w:snapToGrid w:val="0"/>
          <w:color w:val="auto"/>
          <w:kern w:val="0"/>
          <w:sz w:val="32"/>
          <w:szCs w:val="32"/>
          <w:lang w:eastAsia="zh-CN"/>
        </w:rPr>
        <w:t>、</w:t>
      </w:r>
      <w:r>
        <w:rPr>
          <w:rFonts w:hint="eastAsia" w:ascii="仿宋_GB2312" w:hAnsi="宋体" w:eastAsia="仿宋_GB2312" w:cs="宋体"/>
          <w:snapToGrid w:val="0"/>
          <w:color w:val="auto"/>
          <w:kern w:val="0"/>
          <w:sz w:val="32"/>
          <w:szCs w:val="32"/>
        </w:rPr>
        <w:t>提出处理意见和建议；</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（三）对本</w:t>
      </w:r>
      <w:r>
        <w:rPr>
          <w:rFonts w:hint="eastAsia" w:ascii="仿宋_GB2312" w:hAnsi="宋体" w:eastAsia="仿宋_GB2312" w:cs="宋体"/>
          <w:snapToGrid w:val="0"/>
          <w:color w:val="auto"/>
          <w:kern w:val="0"/>
          <w:sz w:val="32"/>
          <w:szCs w:val="32"/>
          <w:lang w:eastAsia="zh-CN"/>
        </w:rPr>
        <w:t>单位</w:t>
      </w:r>
      <w:r>
        <w:rPr>
          <w:rFonts w:hint="eastAsia" w:ascii="仿宋_GB2312" w:hAnsi="宋体" w:eastAsia="仿宋_GB2312" w:cs="宋体"/>
          <w:snapToGrid w:val="0"/>
          <w:color w:val="auto"/>
          <w:kern w:val="0"/>
          <w:sz w:val="32"/>
          <w:szCs w:val="32"/>
        </w:rPr>
        <w:t>发生的劳动人事争议，根据有关规定</w:t>
      </w:r>
      <w:r>
        <w:rPr>
          <w:rFonts w:hint="eastAsia" w:ascii="仿宋_GB2312" w:hAnsi="宋体" w:eastAsia="仿宋_GB2312" w:cs="宋体"/>
          <w:snapToGrid w:val="0"/>
          <w:color w:val="auto"/>
          <w:kern w:val="0"/>
          <w:sz w:val="32"/>
          <w:szCs w:val="32"/>
          <w:lang w:eastAsia="zh-CN"/>
        </w:rPr>
        <w:t>及时引导</w:t>
      </w:r>
      <w:r>
        <w:rPr>
          <w:rFonts w:hint="eastAsia" w:ascii="仿宋_GB2312" w:hAnsi="宋体" w:eastAsia="仿宋_GB2312" w:cs="宋体"/>
          <w:snapToGrid w:val="0"/>
          <w:color w:val="auto"/>
          <w:kern w:val="0"/>
          <w:sz w:val="32"/>
          <w:szCs w:val="32"/>
        </w:rPr>
        <w:t>双方当事人进行协商，将劳动人事争议处理工作环节前移，尽最大可能将纠纷和矛盾消除在萌芽状态；</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（四）积极参加人力资源社会保障部门、仲裁委员会组织的业务培训等活动</w:t>
      </w:r>
      <w:r>
        <w:rPr>
          <w:rFonts w:hint="eastAsia" w:ascii="仿宋_GB2312" w:hAnsi="宋体" w:eastAsia="仿宋_GB2312" w:cs="宋体"/>
          <w:snapToGrid w:val="0"/>
          <w:color w:val="auto"/>
          <w:kern w:val="0"/>
          <w:sz w:val="32"/>
          <w:szCs w:val="32"/>
          <w:lang w:eastAsia="zh-CN"/>
        </w:rPr>
        <w:t>，</w:t>
      </w:r>
      <w:r>
        <w:rPr>
          <w:rFonts w:hint="eastAsia" w:ascii="仿宋_GB2312" w:hAnsi="宋体" w:eastAsia="仿宋_GB2312" w:cs="宋体"/>
          <w:snapToGrid w:val="0"/>
          <w:color w:val="auto"/>
          <w:kern w:val="0"/>
          <w:sz w:val="32"/>
          <w:szCs w:val="32"/>
        </w:rPr>
        <w:t>加强</w:t>
      </w:r>
      <w:r>
        <w:rPr>
          <w:rFonts w:hint="eastAsia" w:ascii="仿宋_GB2312" w:hAnsi="宋体" w:eastAsia="仿宋_GB2312" w:cs="宋体"/>
          <w:snapToGrid w:val="0"/>
          <w:color w:val="auto"/>
          <w:kern w:val="0"/>
          <w:sz w:val="32"/>
          <w:szCs w:val="32"/>
          <w:lang w:eastAsia="zh-CN"/>
        </w:rPr>
        <w:t>沟通</w:t>
      </w:r>
      <w:r>
        <w:rPr>
          <w:rFonts w:hint="eastAsia" w:ascii="仿宋_GB2312" w:hAnsi="宋体" w:eastAsia="仿宋_GB2312" w:cs="宋体"/>
          <w:snapToGrid w:val="0"/>
          <w:color w:val="auto"/>
          <w:kern w:val="0"/>
          <w:sz w:val="32"/>
          <w:szCs w:val="32"/>
        </w:rPr>
        <w:t>联络，共同做好劳动人事争议处理工作。</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黑体" w:hAnsi="宋体" w:eastAsia="黑体" w:cs="宋体"/>
          <w:snapToGrid w:val="0"/>
          <w:color w:val="auto"/>
          <w:kern w:val="0"/>
          <w:sz w:val="32"/>
          <w:szCs w:val="32"/>
        </w:rPr>
        <w:t>第</w:t>
      </w:r>
      <w:r>
        <w:rPr>
          <w:rFonts w:hint="eastAsia" w:ascii="黑体" w:hAnsi="宋体" w:eastAsia="黑体" w:cs="宋体"/>
          <w:snapToGrid w:val="0"/>
          <w:color w:val="auto"/>
          <w:kern w:val="0"/>
          <w:sz w:val="32"/>
          <w:szCs w:val="32"/>
          <w:lang w:eastAsia="zh-CN"/>
        </w:rPr>
        <w:t>十八</w:t>
      </w:r>
      <w:r>
        <w:rPr>
          <w:rFonts w:hint="eastAsia" w:ascii="黑体" w:hAnsi="宋体" w:eastAsia="黑体" w:cs="宋体"/>
          <w:snapToGrid w:val="0"/>
          <w:color w:val="auto"/>
          <w:kern w:val="0"/>
          <w:sz w:val="32"/>
          <w:szCs w:val="32"/>
        </w:rPr>
        <w:t>条</w:t>
      </w:r>
      <w:r>
        <w:rPr>
          <w:rFonts w:hint="eastAsia" w:ascii="仿宋_GB2312" w:hAnsi="宋体" w:eastAsia="仿宋_GB2312" w:cs="宋体"/>
          <w:snapToGrid w:val="0"/>
          <w:color w:val="auto"/>
          <w:kern w:val="0"/>
          <w:sz w:val="32"/>
          <w:szCs w:val="32"/>
        </w:rPr>
        <w:t xml:space="preserve">  协调联络员应遵循的工作原则：   </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 xml:space="preserve">（一）合法、公正、及时；   </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 xml:space="preserve">（二）当事人双方自愿、平等协商；   </w:t>
      </w:r>
    </w:p>
    <w:p>
      <w:pPr>
        <w:keepNext w:val="0"/>
        <w:keepLines w:val="0"/>
        <w:pageBreakBefore w:val="0"/>
        <w:widowControl w:val="0"/>
        <w:numPr>
          <w:ilvl w:val="0"/>
          <w:numId w:val="0"/>
        </w:numPr>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hAnsi="宋体" w:eastAsia="仿宋_GB2312" w:cs="宋体"/>
          <w:snapToGrid w:val="0"/>
          <w:color w:val="auto"/>
          <w:kern w:val="0"/>
          <w:sz w:val="32"/>
          <w:szCs w:val="32"/>
        </w:rPr>
      </w:pPr>
      <w:r>
        <w:rPr>
          <w:rFonts w:hint="eastAsia" w:ascii="仿宋_GB2312" w:hAnsi="宋体" w:eastAsia="仿宋_GB2312" w:cs="宋体"/>
          <w:snapToGrid w:val="0"/>
          <w:color w:val="auto"/>
          <w:kern w:val="0"/>
          <w:sz w:val="32"/>
          <w:szCs w:val="32"/>
        </w:rPr>
        <w:t>（三）尊重事实</w:t>
      </w:r>
      <w:r>
        <w:rPr>
          <w:rFonts w:hint="eastAsia" w:ascii="仿宋_GB2312" w:hAnsi="宋体" w:eastAsia="仿宋_GB2312" w:cs="宋体"/>
          <w:snapToGrid w:val="0"/>
          <w:color w:val="auto"/>
          <w:kern w:val="0"/>
          <w:sz w:val="32"/>
          <w:szCs w:val="32"/>
          <w:lang w:eastAsia="zh-CN"/>
        </w:rPr>
        <w:t>，</w:t>
      </w:r>
      <w:r>
        <w:rPr>
          <w:rFonts w:hint="eastAsia" w:ascii="仿宋_GB2312" w:hAnsi="宋体" w:eastAsia="仿宋_GB2312" w:cs="宋体"/>
          <w:snapToGrid w:val="0"/>
          <w:color w:val="auto"/>
          <w:kern w:val="0"/>
          <w:sz w:val="32"/>
          <w:szCs w:val="32"/>
        </w:rPr>
        <w:t>尊重当事人申请</w:t>
      </w:r>
      <w:r>
        <w:rPr>
          <w:rFonts w:hint="eastAsia" w:ascii="仿宋_GB2312" w:hAnsi="宋体" w:eastAsia="仿宋_GB2312" w:cs="宋体"/>
          <w:snapToGrid w:val="0"/>
          <w:color w:val="auto"/>
          <w:kern w:val="0"/>
          <w:sz w:val="32"/>
          <w:szCs w:val="32"/>
          <w:lang w:eastAsia="zh-CN"/>
        </w:rPr>
        <w:t>调解、</w:t>
      </w:r>
      <w:r>
        <w:rPr>
          <w:rFonts w:hint="eastAsia" w:ascii="仿宋_GB2312" w:hAnsi="宋体" w:eastAsia="仿宋_GB2312" w:cs="宋体"/>
          <w:snapToGrid w:val="0"/>
          <w:color w:val="auto"/>
          <w:kern w:val="0"/>
          <w:sz w:val="32"/>
          <w:szCs w:val="32"/>
        </w:rPr>
        <w:t xml:space="preserve">仲裁和诉讼的权利。   </w:t>
      </w:r>
    </w:p>
    <w:p>
      <w:pPr>
        <w:keepNext w:val="0"/>
        <w:keepLines w:val="0"/>
        <w:pageBreakBefore w:val="0"/>
        <w:widowControl w:val="0"/>
        <w:numPr>
          <w:ilvl w:val="0"/>
          <w:numId w:val="0"/>
        </w:numPr>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lang w:val="en-US" w:eastAsia="zh-CN"/>
        </w:rPr>
      </w:pPr>
      <w:r>
        <w:rPr>
          <w:rFonts w:hint="eastAsia" w:ascii="黑体" w:hAnsi="黑体" w:eastAsia="黑体" w:cs="黑体"/>
          <w:snapToGrid w:val="0"/>
          <w:color w:val="auto"/>
          <w:kern w:val="0"/>
          <w:sz w:val="32"/>
          <w:szCs w:val="32"/>
          <w:lang w:eastAsia="zh-CN"/>
        </w:rPr>
        <w:t>第十九条</w:t>
      </w:r>
      <w:r>
        <w:rPr>
          <w:rFonts w:hint="eastAsia" w:ascii="仿宋_GB2312" w:hAnsi="宋体" w:eastAsia="仿宋_GB2312" w:cs="宋体"/>
          <w:snapToGrid w:val="0"/>
          <w:color w:val="auto"/>
          <w:kern w:val="0"/>
          <w:sz w:val="32"/>
          <w:szCs w:val="32"/>
          <w:lang w:val="en-US" w:eastAsia="zh-CN"/>
        </w:rPr>
        <w:t xml:space="preserve">  </w:t>
      </w:r>
      <w:r>
        <w:rPr>
          <w:rFonts w:hint="eastAsia" w:ascii="仿宋_GB2312" w:eastAsia="仿宋_GB2312"/>
          <w:color w:val="auto"/>
          <w:sz w:val="32"/>
          <w:szCs w:val="32"/>
          <w:lang w:val="en-US" w:eastAsia="zh-CN"/>
        </w:rPr>
        <w:t>协调联络员在引导、见证协商过程中，应密切关注劳动人事争议风险性问题发展趋势，对可能引发集体争议、集体上访或群体性事件的苗头性、倾向性问题，第一时间向本单位、当地人力资源社会保障部门、有管辖权的仲裁委员会反映。</w:t>
      </w:r>
    </w:p>
    <w:p>
      <w:pPr>
        <w:keepNext w:val="0"/>
        <w:keepLines w:val="0"/>
        <w:pageBreakBefore w:val="0"/>
        <w:widowControl w:val="0"/>
        <w:kinsoku/>
        <w:wordWrap/>
        <w:overflowPunct/>
        <w:topLinePunct w:val="0"/>
        <w:autoSpaceDE/>
        <w:autoSpaceDN/>
        <w:bidi w:val="0"/>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协商达成一致，应</w:t>
      </w:r>
      <w:r>
        <w:rPr>
          <w:rFonts w:hint="eastAsia" w:ascii="仿宋_GB2312" w:eastAsia="仿宋_GB2312"/>
          <w:color w:val="auto"/>
          <w:sz w:val="32"/>
          <w:szCs w:val="32"/>
          <w:lang w:eastAsia="zh-CN"/>
        </w:rPr>
        <w:t>当</w:t>
      </w:r>
      <w:r>
        <w:rPr>
          <w:rFonts w:hint="eastAsia" w:ascii="仿宋_GB2312" w:eastAsia="仿宋_GB2312"/>
          <w:color w:val="auto"/>
          <w:sz w:val="32"/>
          <w:szCs w:val="32"/>
        </w:rPr>
        <w:t>签订书面和解协议。和解协议对双方当事人具有约束力，当事人应</w:t>
      </w:r>
      <w:r>
        <w:rPr>
          <w:rFonts w:hint="eastAsia" w:ascii="仿宋_GB2312" w:eastAsia="仿宋_GB2312"/>
          <w:color w:val="auto"/>
          <w:sz w:val="32"/>
          <w:szCs w:val="32"/>
          <w:lang w:eastAsia="zh-CN"/>
        </w:rPr>
        <w:t>当</w:t>
      </w:r>
      <w:r>
        <w:rPr>
          <w:rFonts w:hint="eastAsia" w:ascii="仿宋_GB2312" w:eastAsia="仿宋_GB2312"/>
          <w:color w:val="auto"/>
          <w:sz w:val="32"/>
          <w:szCs w:val="32"/>
        </w:rPr>
        <w:t>履行。</w:t>
      </w:r>
      <w:r>
        <w:rPr>
          <w:rFonts w:hint="eastAsia" w:ascii="仿宋_GB2312" w:eastAsia="仿宋_GB2312"/>
          <w:color w:val="auto"/>
          <w:sz w:val="32"/>
          <w:szCs w:val="32"/>
          <w:lang w:eastAsia="zh-CN"/>
        </w:rPr>
        <w:t>协调联络员</w:t>
      </w:r>
      <w:r>
        <w:rPr>
          <w:rFonts w:hint="eastAsia" w:ascii="仿宋_GB2312" w:eastAsia="仿宋_GB2312"/>
          <w:color w:val="auto"/>
          <w:sz w:val="32"/>
          <w:szCs w:val="32"/>
        </w:rPr>
        <w:t>应</w:t>
      </w:r>
      <w:r>
        <w:rPr>
          <w:rFonts w:hint="eastAsia" w:ascii="仿宋_GB2312" w:eastAsia="仿宋_GB2312"/>
          <w:color w:val="auto"/>
          <w:sz w:val="32"/>
          <w:szCs w:val="32"/>
          <w:lang w:eastAsia="zh-CN"/>
        </w:rPr>
        <w:t>当对其引导、见证协商过程达成和解协议的，在征得双方当事人同意后</w:t>
      </w:r>
      <w:r>
        <w:rPr>
          <w:rFonts w:hint="eastAsia" w:ascii="仿宋_GB2312" w:eastAsia="仿宋_GB2312"/>
          <w:color w:val="auto"/>
          <w:sz w:val="32"/>
          <w:szCs w:val="32"/>
        </w:rPr>
        <w:t>将和解协议归档，建立协商档案。</w:t>
      </w:r>
    </w:p>
    <w:p>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黑体" w:hAnsi="黑体" w:eastAsia="黑体" w:cs="黑体"/>
          <w:snapToGrid w:val="0"/>
          <w:color w:val="auto"/>
          <w:kern w:val="0"/>
          <w:sz w:val="32"/>
          <w:szCs w:val="32"/>
          <w:lang w:eastAsia="zh-CN"/>
        </w:rPr>
        <w:t>第二十条</w:t>
      </w:r>
      <w:r>
        <w:rPr>
          <w:rFonts w:hint="eastAsia" w:ascii="仿宋_GB2312" w:hAnsi="宋体" w:eastAsia="仿宋_GB2312" w:cs="宋体"/>
          <w:snapToGrid w:val="0"/>
          <w:color w:val="auto"/>
          <w:kern w:val="0"/>
          <w:sz w:val="32"/>
          <w:szCs w:val="32"/>
          <w:lang w:val="en-US" w:eastAsia="zh-CN"/>
        </w:rPr>
        <w:t xml:space="preserve">  </w:t>
      </w:r>
      <w:r>
        <w:rPr>
          <w:rFonts w:hint="eastAsia" w:ascii="仿宋_GB2312" w:hAnsi="宋体" w:eastAsia="仿宋_GB2312" w:cs="宋体"/>
          <w:snapToGrid w:val="0"/>
          <w:color w:val="auto"/>
          <w:kern w:val="0"/>
          <w:sz w:val="32"/>
          <w:szCs w:val="32"/>
          <w:lang w:eastAsia="zh-CN"/>
        </w:rPr>
        <w:t>用人</w:t>
      </w:r>
      <w:r>
        <w:rPr>
          <w:rFonts w:hint="eastAsia" w:ascii="仿宋_GB2312" w:hAnsi="宋体" w:eastAsia="仿宋_GB2312" w:cs="宋体"/>
          <w:snapToGrid w:val="0"/>
          <w:color w:val="auto"/>
          <w:kern w:val="0"/>
          <w:sz w:val="32"/>
          <w:szCs w:val="32"/>
        </w:rPr>
        <w:t>单位</w:t>
      </w:r>
      <w:r>
        <w:rPr>
          <w:rFonts w:hint="eastAsia" w:ascii="仿宋_GB2312" w:hAnsi="宋体" w:eastAsia="仿宋_GB2312" w:cs="宋体"/>
          <w:snapToGrid w:val="0"/>
          <w:color w:val="auto"/>
          <w:kern w:val="0"/>
          <w:sz w:val="32"/>
          <w:szCs w:val="32"/>
          <w:lang w:eastAsia="zh-CN"/>
        </w:rPr>
        <w:t>应</w:t>
      </w:r>
      <w:r>
        <w:rPr>
          <w:rFonts w:hint="eastAsia" w:ascii="仿宋_GB2312" w:hAnsi="宋体" w:eastAsia="仿宋_GB2312" w:cs="宋体"/>
          <w:snapToGrid w:val="0"/>
          <w:color w:val="auto"/>
          <w:kern w:val="0"/>
          <w:sz w:val="32"/>
          <w:szCs w:val="32"/>
        </w:rPr>
        <w:t>建立健全劳动人事争议</w:t>
      </w:r>
      <w:r>
        <w:rPr>
          <w:rFonts w:hint="eastAsia" w:ascii="仿宋_GB2312" w:hAnsi="宋体" w:eastAsia="仿宋_GB2312" w:cs="宋体"/>
          <w:snapToGrid w:val="0"/>
          <w:color w:val="auto"/>
          <w:kern w:val="0"/>
          <w:sz w:val="32"/>
          <w:szCs w:val="32"/>
          <w:lang w:eastAsia="zh-CN"/>
        </w:rPr>
        <w:t>源头预防、风险</w:t>
      </w:r>
      <w:r>
        <w:rPr>
          <w:rFonts w:hint="eastAsia" w:ascii="仿宋_GB2312" w:hAnsi="宋体" w:eastAsia="仿宋_GB2312" w:cs="宋体"/>
          <w:snapToGrid w:val="0"/>
          <w:color w:val="auto"/>
          <w:kern w:val="0"/>
          <w:sz w:val="32"/>
          <w:szCs w:val="32"/>
        </w:rPr>
        <w:t>排查</w:t>
      </w:r>
      <w:r>
        <w:rPr>
          <w:rFonts w:hint="eastAsia" w:ascii="仿宋_GB2312" w:hAnsi="宋体" w:eastAsia="仿宋_GB2312" w:cs="宋体"/>
          <w:snapToGrid w:val="0"/>
          <w:color w:val="auto"/>
          <w:kern w:val="0"/>
          <w:sz w:val="32"/>
          <w:szCs w:val="32"/>
          <w:lang w:eastAsia="zh-CN"/>
        </w:rPr>
        <w:t>、</w:t>
      </w:r>
      <w:r>
        <w:rPr>
          <w:rFonts w:hint="eastAsia" w:ascii="仿宋_GB2312" w:hAnsi="宋体" w:eastAsia="仿宋_GB2312" w:cs="宋体"/>
          <w:snapToGrid w:val="0"/>
          <w:color w:val="auto"/>
          <w:kern w:val="0"/>
          <w:sz w:val="32"/>
          <w:szCs w:val="32"/>
        </w:rPr>
        <w:t>预警</w:t>
      </w:r>
      <w:r>
        <w:rPr>
          <w:rFonts w:hint="eastAsia" w:ascii="仿宋_GB2312" w:hAnsi="宋体" w:eastAsia="仿宋_GB2312" w:cs="宋体"/>
          <w:snapToGrid w:val="0"/>
          <w:color w:val="auto"/>
          <w:kern w:val="0"/>
          <w:sz w:val="32"/>
          <w:szCs w:val="32"/>
          <w:lang w:eastAsia="zh-CN"/>
        </w:rPr>
        <w:t>预报</w:t>
      </w:r>
      <w:r>
        <w:rPr>
          <w:rFonts w:hint="eastAsia" w:ascii="仿宋_GB2312" w:hAnsi="宋体" w:eastAsia="仿宋_GB2312" w:cs="宋体"/>
          <w:snapToGrid w:val="0"/>
          <w:color w:val="auto"/>
          <w:kern w:val="0"/>
          <w:sz w:val="32"/>
          <w:szCs w:val="32"/>
        </w:rPr>
        <w:t>机制，</w:t>
      </w:r>
      <w:r>
        <w:rPr>
          <w:rFonts w:hint="eastAsia" w:ascii="仿宋_GB2312" w:hAnsi="宋体" w:eastAsia="仿宋_GB2312" w:cs="宋体"/>
          <w:snapToGrid w:val="0"/>
          <w:color w:val="auto"/>
          <w:kern w:val="0"/>
          <w:sz w:val="32"/>
          <w:szCs w:val="32"/>
          <w:lang w:eastAsia="zh-CN"/>
        </w:rPr>
        <w:t>及时化解</w:t>
      </w:r>
      <w:r>
        <w:rPr>
          <w:rFonts w:hint="eastAsia" w:ascii="仿宋_GB2312" w:hAnsi="宋体" w:eastAsia="仿宋_GB2312" w:cs="宋体"/>
          <w:snapToGrid w:val="0"/>
          <w:color w:val="auto"/>
          <w:kern w:val="0"/>
          <w:sz w:val="32"/>
          <w:szCs w:val="32"/>
        </w:rPr>
        <w:t>争议隐患</w:t>
      </w:r>
      <w:r>
        <w:rPr>
          <w:rFonts w:hint="eastAsia" w:ascii="仿宋_GB2312" w:hAnsi="宋体" w:eastAsia="仿宋_GB2312" w:cs="宋体"/>
          <w:snapToGrid w:val="0"/>
          <w:color w:val="auto"/>
          <w:kern w:val="0"/>
          <w:sz w:val="32"/>
          <w:szCs w:val="32"/>
          <w:lang w:eastAsia="zh-CN"/>
        </w:rPr>
        <w:t>。</w:t>
      </w:r>
    </w:p>
    <w:p>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黑体" w:hAnsi="宋体" w:eastAsia="黑体" w:cs="宋体"/>
          <w:snapToGrid w:val="0"/>
          <w:color w:val="auto"/>
          <w:kern w:val="0"/>
          <w:sz w:val="32"/>
          <w:szCs w:val="32"/>
        </w:rPr>
        <w:t>第</w:t>
      </w:r>
      <w:r>
        <w:rPr>
          <w:rFonts w:hint="eastAsia" w:ascii="黑体" w:hAnsi="宋体" w:eastAsia="黑体" w:cs="宋体"/>
          <w:snapToGrid w:val="0"/>
          <w:color w:val="auto"/>
          <w:kern w:val="0"/>
          <w:sz w:val="32"/>
          <w:szCs w:val="32"/>
          <w:lang w:eastAsia="zh-CN"/>
        </w:rPr>
        <w:t>二十一</w:t>
      </w:r>
      <w:r>
        <w:rPr>
          <w:rFonts w:hint="eastAsia" w:ascii="黑体" w:hAnsi="宋体" w:eastAsia="黑体" w:cs="宋体"/>
          <w:snapToGrid w:val="0"/>
          <w:color w:val="auto"/>
          <w:kern w:val="0"/>
          <w:sz w:val="32"/>
          <w:szCs w:val="32"/>
        </w:rPr>
        <w:t>条</w:t>
      </w:r>
      <w:r>
        <w:rPr>
          <w:rFonts w:ascii="Times New Roman" w:hAnsi="Times New Roman" w:cs="Times New Roman"/>
          <w:snapToGrid w:val="0"/>
          <w:color w:val="auto"/>
          <w:kern w:val="0"/>
          <w:sz w:val="36"/>
          <w:szCs w:val="36"/>
        </w:rPr>
        <w:t xml:space="preserve"> </w:t>
      </w:r>
      <w:r>
        <w:rPr>
          <w:rFonts w:hint="eastAsia" w:ascii="Times New Roman" w:hAnsi="Times New Roman" w:cs="Times New Roman"/>
          <w:snapToGrid w:val="0"/>
          <w:color w:val="auto"/>
          <w:kern w:val="0"/>
          <w:sz w:val="36"/>
          <w:szCs w:val="36"/>
        </w:rPr>
        <w:t xml:space="preserve"> </w:t>
      </w:r>
      <w:r>
        <w:rPr>
          <w:rFonts w:hint="eastAsia" w:ascii="仿宋_GB2312" w:hAnsi="仿宋_GB2312" w:eastAsia="仿宋_GB2312" w:cs="仿宋_GB2312"/>
          <w:snapToGrid w:val="0"/>
          <w:color w:val="auto"/>
          <w:kern w:val="0"/>
          <w:sz w:val="32"/>
          <w:szCs w:val="32"/>
          <w:lang w:eastAsia="zh-CN"/>
        </w:rPr>
        <w:t>用人</w:t>
      </w:r>
      <w:r>
        <w:rPr>
          <w:rFonts w:hint="eastAsia" w:ascii="仿宋_GB2312" w:hAnsi="宋体" w:eastAsia="仿宋_GB2312" w:cs="宋体"/>
          <w:snapToGrid w:val="0"/>
          <w:color w:val="auto"/>
          <w:kern w:val="0"/>
          <w:sz w:val="32"/>
          <w:szCs w:val="32"/>
        </w:rPr>
        <w:t>单位应按照法律法规政策规定，支持</w:t>
      </w:r>
      <w:r>
        <w:rPr>
          <w:rFonts w:hint="eastAsia" w:ascii="仿宋_GB2312" w:hAnsi="宋体" w:eastAsia="仿宋_GB2312" w:cs="宋体"/>
          <w:snapToGrid w:val="0"/>
          <w:color w:val="auto"/>
          <w:kern w:val="0"/>
          <w:sz w:val="32"/>
          <w:szCs w:val="32"/>
          <w:lang w:eastAsia="zh-CN"/>
        </w:rPr>
        <w:t>内部申诉和协商回应工作开展，</w:t>
      </w:r>
      <w:r>
        <w:rPr>
          <w:rFonts w:hint="eastAsia" w:ascii="仿宋_GB2312" w:hAnsi="宋体" w:eastAsia="仿宋_GB2312" w:cs="宋体"/>
          <w:snapToGrid w:val="0"/>
          <w:color w:val="auto"/>
          <w:kern w:val="0"/>
          <w:sz w:val="32"/>
          <w:szCs w:val="32"/>
        </w:rPr>
        <w:t>在办公条件、工作经费等方面</w:t>
      </w:r>
      <w:r>
        <w:rPr>
          <w:rFonts w:hint="eastAsia" w:ascii="仿宋_GB2312" w:hAnsi="宋体" w:eastAsia="仿宋_GB2312" w:cs="宋体"/>
          <w:snapToGrid w:val="0"/>
          <w:color w:val="auto"/>
          <w:kern w:val="0"/>
          <w:sz w:val="32"/>
          <w:szCs w:val="32"/>
          <w:lang w:eastAsia="zh-CN"/>
        </w:rPr>
        <w:t>为本单位调解委员会、协调联络员</w:t>
      </w:r>
      <w:r>
        <w:rPr>
          <w:rFonts w:hint="eastAsia" w:ascii="仿宋_GB2312" w:hAnsi="宋体" w:eastAsia="仿宋_GB2312" w:cs="宋体"/>
          <w:snapToGrid w:val="0"/>
          <w:color w:val="auto"/>
          <w:kern w:val="0"/>
          <w:sz w:val="32"/>
          <w:szCs w:val="32"/>
        </w:rPr>
        <w:t>提供</w:t>
      </w:r>
      <w:r>
        <w:rPr>
          <w:rFonts w:hint="eastAsia" w:ascii="仿宋_GB2312" w:hAnsi="宋体" w:eastAsia="仿宋_GB2312" w:cs="宋体"/>
          <w:snapToGrid w:val="0"/>
          <w:color w:val="auto"/>
          <w:kern w:val="0"/>
          <w:sz w:val="32"/>
          <w:szCs w:val="32"/>
          <w:lang w:eastAsia="zh-CN"/>
        </w:rPr>
        <w:t>必要的</w:t>
      </w:r>
      <w:r>
        <w:rPr>
          <w:rFonts w:hint="eastAsia" w:ascii="仿宋_GB2312" w:hAnsi="宋体" w:eastAsia="仿宋_GB2312" w:cs="宋体"/>
          <w:snapToGrid w:val="0"/>
          <w:color w:val="auto"/>
          <w:kern w:val="0"/>
          <w:sz w:val="32"/>
          <w:szCs w:val="32"/>
        </w:rPr>
        <w:t>支持和保障</w:t>
      </w:r>
      <w:r>
        <w:rPr>
          <w:rFonts w:hint="eastAsia" w:ascii="仿宋_GB2312" w:hAnsi="宋体" w:eastAsia="仿宋_GB2312" w:cs="宋体"/>
          <w:snapToGrid w:val="0"/>
          <w:color w:val="auto"/>
          <w:kern w:val="0"/>
          <w:sz w:val="32"/>
          <w:szCs w:val="32"/>
          <w:lang w:eastAsia="zh-CN"/>
        </w:rPr>
        <w:t>。用人单位应于每季度末将协商调解争议情况报同级人力资源社会保障部门。</w:t>
      </w:r>
    </w:p>
    <w:p>
      <w:pPr>
        <w:pStyle w:val="5"/>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textAlignment w:val="auto"/>
        <w:outlineLvl w:val="9"/>
        <w:rPr>
          <w:rFonts w:hint="eastAsia" w:ascii="仿宋_GB2312" w:hAnsi="宋体" w:eastAsia="仿宋_GB2312" w:cs="宋体"/>
          <w:snapToGrid w:val="0"/>
          <w:color w:val="auto"/>
          <w:kern w:val="0"/>
          <w:sz w:val="32"/>
          <w:szCs w:val="32"/>
        </w:rPr>
      </w:pPr>
      <w:r>
        <w:rPr>
          <w:rFonts w:hint="eastAsia" w:ascii="黑体" w:hAnsi="宋体" w:eastAsia="黑体" w:cs="宋体"/>
          <w:snapToGrid w:val="0"/>
          <w:color w:val="auto"/>
          <w:kern w:val="0"/>
          <w:sz w:val="32"/>
          <w:szCs w:val="32"/>
        </w:rPr>
        <w:t>第二十</w:t>
      </w:r>
      <w:r>
        <w:rPr>
          <w:rFonts w:hint="eastAsia" w:ascii="黑体" w:hAnsi="宋体" w:eastAsia="黑体" w:cs="宋体"/>
          <w:snapToGrid w:val="0"/>
          <w:color w:val="auto"/>
          <w:kern w:val="0"/>
          <w:sz w:val="32"/>
          <w:szCs w:val="32"/>
          <w:lang w:eastAsia="zh-CN"/>
        </w:rPr>
        <w:t>二</w:t>
      </w:r>
      <w:r>
        <w:rPr>
          <w:rFonts w:hint="eastAsia" w:ascii="黑体" w:hAnsi="宋体" w:eastAsia="黑体" w:cs="宋体"/>
          <w:snapToGrid w:val="0"/>
          <w:color w:val="auto"/>
          <w:kern w:val="0"/>
          <w:sz w:val="32"/>
          <w:szCs w:val="32"/>
        </w:rPr>
        <w:t>条</w:t>
      </w:r>
      <w:r>
        <w:rPr>
          <w:rFonts w:hint="eastAsia" w:ascii="仿宋_GB2312" w:hAnsi="宋体" w:eastAsia="仿宋_GB2312" w:cs="宋体"/>
          <w:snapToGrid w:val="0"/>
          <w:color w:val="auto"/>
          <w:kern w:val="0"/>
          <w:sz w:val="32"/>
          <w:szCs w:val="32"/>
        </w:rPr>
        <w:t xml:space="preserve">  本</w:t>
      </w:r>
      <w:r>
        <w:rPr>
          <w:rFonts w:hint="eastAsia" w:ascii="仿宋_GB2312" w:hAnsi="宋体" w:eastAsia="仿宋_GB2312" w:cs="宋体"/>
          <w:snapToGrid w:val="0"/>
          <w:color w:val="auto"/>
          <w:kern w:val="0"/>
          <w:sz w:val="32"/>
          <w:szCs w:val="32"/>
          <w:lang w:eastAsia="zh-CN"/>
        </w:rPr>
        <w:t>参考指引所称“</w:t>
      </w:r>
      <w:r>
        <w:rPr>
          <w:rFonts w:hint="eastAsia" w:ascii="仿宋_GB2312" w:hAnsi="宋体" w:eastAsia="仿宋_GB2312" w:cs="宋体"/>
          <w:snapToGrid w:val="0"/>
          <w:color w:val="auto"/>
          <w:kern w:val="0"/>
          <w:sz w:val="32"/>
          <w:szCs w:val="32"/>
          <w:lang w:val="en-US" w:eastAsia="zh-CN"/>
        </w:rPr>
        <w:t>五</w:t>
      </w:r>
      <w:r>
        <w:rPr>
          <w:rFonts w:hint="eastAsia" w:ascii="仿宋_GB2312" w:hAnsi="宋体" w:eastAsia="仿宋_GB2312" w:cs="宋体"/>
          <w:snapToGrid w:val="0"/>
          <w:color w:val="auto"/>
          <w:kern w:val="0"/>
          <w:sz w:val="32"/>
          <w:szCs w:val="32"/>
        </w:rPr>
        <w:t>日”指工作日</w:t>
      </w:r>
      <w:r>
        <w:rPr>
          <w:rFonts w:hint="eastAsia" w:ascii="仿宋_GB2312" w:hAnsi="宋体" w:eastAsia="仿宋_GB2312" w:cs="宋体"/>
          <w:snapToGrid w:val="0"/>
          <w:color w:val="auto"/>
          <w:kern w:val="0"/>
          <w:sz w:val="32"/>
          <w:szCs w:val="32"/>
          <w:lang w:eastAsia="zh-CN"/>
        </w:rPr>
        <w:t>，“十五日”指自然日</w:t>
      </w:r>
      <w:r>
        <w:rPr>
          <w:rFonts w:hint="eastAsia" w:ascii="仿宋_GB2312" w:hAnsi="宋体" w:eastAsia="仿宋_GB2312" w:cs="宋体"/>
          <w:snapToGrid w:val="0"/>
          <w:color w:val="auto"/>
          <w:kern w:val="0"/>
          <w:sz w:val="32"/>
          <w:szCs w:val="32"/>
        </w:rPr>
        <w:t>。</w:t>
      </w:r>
    </w:p>
    <w:p>
      <w:pPr>
        <w:pStyle w:val="5"/>
        <w:adjustRightInd w:val="0"/>
        <w:snapToGrid w:val="0"/>
        <w:spacing w:line="580" w:lineRule="exact"/>
        <w:ind w:firstLine="640" w:firstLineChars="200"/>
        <w:jc w:val="left"/>
        <w:rPr>
          <w:rFonts w:hint="eastAsia" w:ascii="仿宋_GB2312" w:hAnsi="宋体" w:eastAsia="仿宋_GB2312" w:cs="宋体"/>
          <w:snapToGrid w:val="0"/>
          <w:color w:val="auto"/>
          <w:kern w:val="0"/>
          <w:sz w:val="32"/>
          <w:szCs w:val="32"/>
        </w:rPr>
      </w:pPr>
      <w:r>
        <w:rPr>
          <w:rFonts w:hint="eastAsia" w:ascii="黑体" w:hAnsi="宋体" w:eastAsia="黑体" w:cs="宋体"/>
          <w:snapToGrid w:val="0"/>
          <w:color w:val="auto"/>
          <w:kern w:val="0"/>
          <w:sz w:val="32"/>
          <w:szCs w:val="32"/>
        </w:rPr>
        <w:t>第二十</w:t>
      </w:r>
      <w:r>
        <w:rPr>
          <w:rFonts w:hint="eastAsia" w:ascii="黑体" w:hAnsi="宋体" w:eastAsia="黑体" w:cs="宋体"/>
          <w:snapToGrid w:val="0"/>
          <w:color w:val="auto"/>
          <w:kern w:val="0"/>
          <w:sz w:val="32"/>
          <w:szCs w:val="32"/>
          <w:lang w:eastAsia="zh-CN"/>
        </w:rPr>
        <w:t>三</w:t>
      </w:r>
      <w:r>
        <w:rPr>
          <w:rFonts w:hint="eastAsia" w:ascii="黑体" w:hAnsi="宋体" w:eastAsia="黑体" w:cs="宋体"/>
          <w:snapToGrid w:val="0"/>
          <w:color w:val="auto"/>
          <w:kern w:val="0"/>
          <w:sz w:val="32"/>
          <w:szCs w:val="32"/>
        </w:rPr>
        <w:t>条</w:t>
      </w:r>
      <w:r>
        <w:rPr>
          <w:rFonts w:hint="eastAsia" w:ascii="仿宋_GB2312" w:hAnsi="宋体" w:eastAsia="仿宋_GB2312" w:cs="宋体"/>
          <w:snapToGrid w:val="0"/>
          <w:color w:val="auto"/>
          <w:kern w:val="0"/>
          <w:sz w:val="32"/>
          <w:szCs w:val="32"/>
        </w:rPr>
        <w:t xml:space="preserve">  本</w:t>
      </w:r>
      <w:r>
        <w:rPr>
          <w:rFonts w:hint="eastAsia" w:ascii="仿宋_GB2312" w:hAnsi="宋体" w:eastAsia="仿宋_GB2312" w:cs="宋体"/>
          <w:snapToGrid w:val="0"/>
          <w:color w:val="auto"/>
          <w:kern w:val="0"/>
          <w:sz w:val="32"/>
          <w:szCs w:val="32"/>
          <w:lang w:eastAsia="zh-CN"/>
        </w:rPr>
        <w:t>参考指引</w:t>
      </w:r>
      <w:r>
        <w:rPr>
          <w:rFonts w:hint="eastAsia" w:ascii="仿宋_GB2312" w:hAnsi="宋体" w:eastAsia="仿宋_GB2312" w:cs="宋体"/>
          <w:snapToGrid w:val="0"/>
          <w:color w:val="auto"/>
          <w:kern w:val="0"/>
          <w:sz w:val="32"/>
          <w:szCs w:val="32"/>
        </w:rPr>
        <w:t>由</w:t>
      </w:r>
      <w:r>
        <w:rPr>
          <w:rFonts w:hint="eastAsia" w:ascii="仿宋_GB2312" w:hAnsi="宋体" w:eastAsia="仿宋_GB2312" w:cs="宋体"/>
          <w:snapToGrid w:val="0"/>
          <w:color w:val="auto"/>
          <w:kern w:val="0"/>
          <w:sz w:val="32"/>
          <w:szCs w:val="32"/>
          <w:lang w:eastAsia="zh-CN"/>
        </w:rPr>
        <w:t>山东</w:t>
      </w:r>
      <w:r>
        <w:rPr>
          <w:rFonts w:hint="eastAsia" w:ascii="仿宋_GB2312" w:hAnsi="宋体" w:eastAsia="仿宋_GB2312" w:cs="宋体"/>
          <w:snapToGrid w:val="0"/>
          <w:color w:val="auto"/>
          <w:kern w:val="0"/>
          <w:sz w:val="32"/>
          <w:szCs w:val="32"/>
        </w:rPr>
        <w:t>省</w:t>
      </w:r>
      <w:r>
        <w:rPr>
          <w:rFonts w:hint="eastAsia" w:ascii="仿宋_GB2312" w:hAnsi="宋体" w:eastAsia="仿宋_GB2312" w:cs="宋体"/>
          <w:snapToGrid w:val="0"/>
          <w:color w:val="auto"/>
          <w:kern w:val="0"/>
          <w:sz w:val="32"/>
          <w:szCs w:val="32"/>
          <w:lang w:eastAsia="zh-CN"/>
        </w:rPr>
        <w:t>人力资源和社会保障厅调解仲裁管理处、山东省</w:t>
      </w:r>
      <w:r>
        <w:rPr>
          <w:rFonts w:hint="eastAsia" w:ascii="仿宋_GB2312" w:hAnsi="宋体" w:eastAsia="仿宋_GB2312" w:cs="宋体"/>
          <w:snapToGrid w:val="0"/>
          <w:color w:val="auto"/>
          <w:kern w:val="0"/>
          <w:sz w:val="32"/>
          <w:szCs w:val="32"/>
        </w:rPr>
        <w:t xml:space="preserve">劳动人事争议仲裁院负责解释。   </w:t>
      </w:r>
    </w:p>
    <w:p>
      <w:pPr>
        <w:pStyle w:val="5"/>
        <w:adjustRightInd w:val="0"/>
        <w:snapToGrid w:val="0"/>
        <w:spacing w:line="580" w:lineRule="exact"/>
        <w:ind w:firstLine="640" w:firstLineChars="200"/>
        <w:jc w:val="center"/>
        <w:rPr>
          <w:rFonts w:hint="eastAsia" w:ascii="仿宋_GB2312" w:hAnsi="宋体" w:eastAsia="仿宋_GB2312" w:cs="宋体"/>
          <w:snapToGrid w:val="0"/>
          <w:color w:val="auto"/>
          <w:kern w:val="0"/>
          <w:sz w:val="32"/>
          <w:szCs w:val="32"/>
        </w:rPr>
      </w:pPr>
    </w:p>
    <w:p>
      <w:pPr>
        <w:pStyle w:val="5"/>
        <w:adjustRightInd w:val="0"/>
        <w:snapToGrid w:val="0"/>
        <w:spacing w:line="580" w:lineRule="exact"/>
        <w:ind w:firstLine="0" w:firstLineChars="0"/>
        <w:jc w:val="left"/>
        <w:rPr>
          <w:rFonts w:hint="eastAsia" w:ascii="仿宋_GB2312" w:hAnsi="仿宋_GB2312" w:eastAsia="仿宋_GB2312" w:cs="仿宋_GB2312"/>
          <w:snapToGrid w:val="0"/>
          <w:color w:val="auto"/>
          <w:kern w:val="0"/>
          <w:sz w:val="32"/>
          <w:szCs w:val="32"/>
        </w:rPr>
      </w:pPr>
      <w:r>
        <w:rPr>
          <w:rFonts w:hint="default" w:ascii="仿宋_GB2312" w:hAnsi="仿宋_GB2312" w:eastAsia="仿宋_GB2312" w:cs="仿宋_GB2312"/>
          <w:snapToGrid w:val="0"/>
          <w:color w:val="auto"/>
          <w:kern w:val="0"/>
          <w:sz w:val="32"/>
          <w:szCs w:val="32"/>
        </w:rPr>
        <w:t xml:space="preserve">    </w:t>
      </w:r>
      <w:r>
        <w:rPr>
          <w:rFonts w:hint="eastAsia" w:ascii="仿宋_GB2312" w:hAnsi="仿宋_GB2312" w:eastAsia="仿宋_GB2312" w:cs="仿宋_GB2312"/>
          <w:snapToGrid w:val="0"/>
          <w:color w:val="auto"/>
          <w:kern w:val="0"/>
          <w:sz w:val="32"/>
          <w:szCs w:val="32"/>
          <w:lang w:val="en-US"/>
        </w:rPr>
        <w:t>附件：</w:t>
      </w:r>
      <w:r>
        <w:rPr>
          <w:rFonts w:hint="eastAsia" w:ascii="仿宋_GB2312" w:hAnsi="仿宋_GB2312" w:eastAsia="仿宋_GB2312" w:cs="仿宋_GB2312"/>
          <w:snapToGrid w:val="0"/>
          <w:color w:val="auto"/>
          <w:kern w:val="0"/>
          <w:sz w:val="32"/>
          <w:szCs w:val="32"/>
        </w:rPr>
        <w:t>劳动人事争议和解协议书参考样式</w:t>
      </w:r>
    </w:p>
    <w:p>
      <w:pPr>
        <w:pStyle w:val="5"/>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textAlignment w:val="auto"/>
        <w:outlineLvl w:val="9"/>
        <w:rPr>
          <w:rFonts w:hint="default" w:ascii="仿宋_GB2312" w:hAnsi="宋体" w:eastAsia="仿宋_GB2312" w:cs="宋体"/>
          <w:snapToGrid w:val="0"/>
          <w:color w:val="auto"/>
          <w:kern w:val="0"/>
          <w:sz w:val="32"/>
          <w:szCs w:val="32"/>
          <w:lang w:eastAsia="zh-CN"/>
        </w:rPr>
      </w:pPr>
    </w:p>
    <w:p>
      <w:pPr>
        <w:keepNext w:val="0"/>
        <w:keepLines w:val="0"/>
        <w:pageBreakBefore w:val="0"/>
        <w:widowControl w:val="0"/>
        <w:kinsoku/>
        <w:wordWrap/>
        <w:overflowPunct/>
        <w:topLinePunct w:val="0"/>
        <w:autoSpaceDE/>
        <w:autoSpaceDN/>
        <w:bidi w:val="0"/>
        <w:spacing w:line="56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spacing w:line="56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spacing w:line="560" w:lineRule="exact"/>
        <w:ind w:left="0" w:leftChars="0" w:right="0" w:rightChars="0" w:firstLine="640" w:firstLineChars="200"/>
        <w:jc w:val="left"/>
        <w:textAlignment w:val="auto"/>
        <w:outlineLvl w:val="9"/>
        <w:rPr>
          <w:rFonts w:hint="eastAsia" w:ascii="黑体" w:hAnsi="黑体" w:eastAsia="黑体" w:cs="黑体"/>
          <w:color w:val="auto"/>
          <w:sz w:val="32"/>
          <w:szCs w:val="32"/>
        </w:rPr>
      </w:pPr>
    </w:p>
    <w:p>
      <w:pPr>
        <w:ind w:firstLine="640" w:firstLineChars="200"/>
        <w:jc w:val="left"/>
        <w:rPr>
          <w:rFonts w:hint="eastAsia" w:ascii="黑体" w:hAnsi="黑体" w:eastAsia="黑体" w:cs="黑体"/>
          <w:color w:val="auto"/>
          <w:sz w:val="32"/>
          <w:szCs w:val="32"/>
        </w:rPr>
      </w:pPr>
    </w:p>
    <w:p>
      <w:pPr>
        <w:jc w:val="left"/>
        <w:rPr>
          <w:rFonts w:hint="eastAsia" w:ascii="黑体" w:hAnsi="黑体" w:eastAsia="黑体" w:cs="黑体"/>
          <w:color w:val="auto"/>
          <w:sz w:val="32"/>
          <w:szCs w:val="32"/>
        </w:rPr>
      </w:pPr>
      <w:r>
        <w:rPr>
          <w:rFonts w:hint="eastAsia" w:ascii="黑体" w:hAnsi="黑体" w:eastAsia="黑体" w:cs="黑体"/>
          <w:color w:val="auto"/>
          <w:sz w:val="32"/>
          <w:szCs w:val="32"/>
        </w:rPr>
        <w:br w:type="page"/>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outlineLvl w:val="9"/>
        <w:rPr>
          <w:rFonts w:hint="eastAsia" w:ascii="黑体" w:hAnsi="黑体" w:eastAsia="黑体" w:cs="黑体"/>
          <w:color w:val="auto"/>
          <w:sz w:val="32"/>
          <w:szCs w:val="32"/>
        </w:rPr>
      </w:pPr>
      <w:r>
        <w:rPr>
          <w:rFonts w:hint="eastAsia" w:ascii="黑体" w:hAnsi="黑体" w:eastAsia="黑体" w:cs="黑体"/>
          <w:color w:val="auto"/>
          <w:sz w:val="32"/>
          <w:szCs w:val="32"/>
        </w:rPr>
        <w:t>附件</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eastAsia" w:ascii="方正小标宋简体" w:eastAsia="方正小标宋简体"/>
          <w:color w:val="auto"/>
          <w:sz w:val="44"/>
          <w:szCs w:val="44"/>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eastAsia" w:ascii="方正小标宋简体" w:eastAsia="方正小标宋简体"/>
          <w:color w:val="auto"/>
          <w:sz w:val="44"/>
          <w:szCs w:val="44"/>
        </w:rPr>
      </w:pPr>
      <w:r>
        <w:rPr>
          <w:rFonts w:hint="eastAsia" w:ascii="方正小标宋简体" w:eastAsia="方正小标宋简体"/>
          <w:color w:val="auto"/>
          <w:sz w:val="44"/>
          <w:szCs w:val="44"/>
        </w:rPr>
        <w:t>劳动人事争议和解协议书参考样式</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甲方：</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乙方：</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依照《劳动法》《劳动合同法》/《事业单位人事管理条例》以及相关劳动人事法律法规规定，甲乙双方本着平等、自愿的原则，经协商一致，双方就</w:t>
      </w:r>
      <w:r>
        <w:rPr>
          <w:rFonts w:hint="eastAsia" w:ascii="仿宋_GB2312" w:eastAsia="仿宋_GB2312"/>
          <w:color w:val="auto"/>
          <w:sz w:val="32"/>
          <w:szCs w:val="32"/>
          <w:u w:val="single"/>
        </w:rPr>
        <w:t xml:space="preserve">              </w:t>
      </w:r>
      <w:r>
        <w:rPr>
          <w:rFonts w:hint="eastAsia" w:ascii="仿宋_GB2312" w:eastAsia="仿宋_GB2312"/>
          <w:color w:val="auto"/>
          <w:sz w:val="32"/>
          <w:szCs w:val="32"/>
        </w:rPr>
        <w:t>劳动/人事争议达成如下和解协议：</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b w:val="0"/>
          <w:bCs/>
          <w:color w:val="auto"/>
          <w:sz w:val="32"/>
          <w:szCs w:val="32"/>
        </w:rPr>
      </w:pPr>
      <w:r>
        <w:rPr>
          <w:rFonts w:hint="eastAsia" w:ascii="仿宋_GB2312" w:eastAsia="仿宋_GB2312"/>
          <w:b w:val="0"/>
          <w:bCs/>
          <w:color w:val="auto"/>
          <w:sz w:val="32"/>
          <w:szCs w:val="32"/>
        </w:rPr>
        <w:t>一、</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ascii="仿宋_GB2312" w:eastAsia="仿宋_GB2312"/>
          <w:b w:val="0"/>
          <w:bCs/>
          <w:color w:val="auto"/>
          <w:sz w:val="32"/>
          <w:szCs w:val="32"/>
        </w:rPr>
      </w:pPr>
      <w:r>
        <w:rPr>
          <w:rFonts w:hint="eastAsia" w:ascii="仿宋_GB2312" w:eastAsia="仿宋_GB2312"/>
          <w:b w:val="0"/>
          <w:bCs/>
          <w:color w:val="auto"/>
          <w:sz w:val="32"/>
          <w:szCs w:val="32"/>
        </w:rPr>
        <w:t>二、</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ascii="仿宋_GB2312" w:eastAsia="仿宋_GB2312"/>
          <w:color w:val="auto"/>
          <w:sz w:val="32"/>
          <w:szCs w:val="32"/>
        </w:rPr>
      </w:pPr>
      <w:r>
        <w:rPr>
          <w:rFonts w:hint="eastAsia" w:ascii="仿宋_GB2312" w:eastAsia="仿宋_GB2312"/>
          <w:color w:val="auto"/>
          <w:sz w:val="32"/>
          <w:szCs w:val="32"/>
        </w:rPr>
        <w:t>三、</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四、双方已清楚了解本协议所有条款的含义，无异议和不明确之处，愿意按协议约定严格执行。</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五、本协议自双方签字并加盖甲方公章后生效，协议一式两份，双方各执一份，具有同等法律效力。</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甲方(公章)：           乙方</w:t>
      </w:r>
      <w:r>
        <w:rPr>
          <w:rFonts w:hint="eastAsia" w:ascii="仿宋_GB2312" w:eastAsia="仿宋_GB2312"/>
          <w:color w:val="auto"/>
          <w:sz w:val="32"/>
          <w:szCs w:val="32"/>
          <w:lang w:eastAsia="zh-CN"/>
        </w:rPr>
        <w:t>或委托代理人</w:t>
      </w:r>
      <w:r>
        <w:rPr>
          <w:rFonts w:hint="eastAsia" w:ascii="仿宋_GB2312" w:eastAsia="仿宋_GB2312"/>
          <w:color w:val="auto"/>
          <w:sz w:val="32"/>
          <w:szCs w:val="32"/>
        </w:rPr>
        <w:t>(签名)：</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t>年 月 日                     年 月 日</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r>
        <w:rPr>
          <w:rFonts w:hint="eastAsia" w:ascii="仿宋_GB2312" w:eastAsia="仿宋_GB2312"/>
          <w:color w:val="auto"/>
          <w:sz w:val="32"/>
          <w:szCs w:val="32"/>
        </w:rPr>
        <w:br w:type="page"/>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left"/>
        <w:textAlignment w:val="auto"/>
        <w:outlineLvl w:val="9"/>
        <w:rPr>
          <w:rFonts w:hint="eastAsia" w:ascii="仿宋_GB2312" w:eastAsia="仿宋_GB2312"/>
          <w:color w:val="auto"/>
          <w:sz w:val="32"/>
          <w:szCs w:val="32"/>
        </w:rPr>
      </w:pPr>
    </w:p>
    <w:p>
      <w:pPr>
        <w:keepNext w:val="0"/>
        <w:keepLines w:val="0"/>
        <w:pageBreakBefore w:val="0"/>
        <w:widowControl/>
        <w:kinsoku/>
        <w:wordWrap/>
        <w:overflowPunct/>
        <w:topLinePunct w:val="0"/>
        <w:autoSpaceDE/>
        <w:autoSpaceDN/>
        <w:bidi w:val="0"/>
        <w:adjustRightInd w:val="0"/>
        <w:snapToGrid w:val="0"/>
        <w:spacing w:line="540" w:lineRule="exact"/>
        <w:ind w:left="0" w:leftChars="0" w:firstLine="276" w:firstLineChars="100"/>
        <w:jc w:val="left"/>
        <w:textAlignment w:val="auto"/>
        <w:outlineLvl w:val="9"/>
        <w:rPr>
          <w:rFonts w:hint="eastAsia" w:ascii="仿宋_GB2312" w:eastAsia="仿宋_GB2312"/>
          <w:color w:val="auto"/>
          <w:sz w:val="28"/>
          <w:szCs w:val="28"/>
        </w:rPr>
      </w:pPr>
      <w:r>
        <w:rPr>
          <w:rFonts w:hint="eastAsia" w:ascii="仿宋_GB2312" w:eastAsia="仿宋_GB2312"/>
          <w:color w:val="auto"/>
          <w:sz w:val="28"/>
          <w:szCs w:val="28"/>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1270</wp:posOffset>
                </wp:positionV>
                <wp:extent cx="5615940" cy="0"/>
                <wp:effectExtent l="0" t="0" r="0" b="0"/>
                <wp:wrapNone/>
                <wp:docPr id="3" name="直线 2"/>
                <wp:cNvGraphicFramePr/>
                <a:graphic xmlns:a="http://schemas.openxmlformats.org/drawingml/2006/main">
                  <a:graphicData uri="http://schemas.microsoft.com/office/word/2010/wordprocessingShape">
                    <wps:wsp>
                      <wps:cNvCnPr/>
                      <wps:spPr>
                        <a:xfrm>
                          <a:off x="0" y="0"/>
                          <a:ext cx="5615940" cy="0"/>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margin-left:0pt;margin-top:0.1pt;height:0pt;width:442.2pt;z-index:251660288;mso-width-relative:page;mso-height-relative:page;" filled="f" stroked="t" coordsize="21600,21600" o:gfxdata="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O48gXSAAAAAgEAAA8AAAAAAAAAAQAgAAAAIgAAAGRycy9k&#10;b3ducmV2LnhtbFBLAQIUABQAAAAIAIdO4kBgTzwTzwEAAI4DAAAOAAAAAAAAAAEAIAAAACEBAABk&#10;cnMvZTJvRG9jLnhtbFBLBQYAAAAABgAGAFkBAABiBQAAAAA=&#10;">
                <v:fill on="f" focussize="0,0"/>
                <v:stroke weight="1.25pt" color="#000000" joinstyle="round"/>
                <v:imagedata o:title=""/>
                <o:lock v:ext="edit" aspectratio="f"/>
              </v:line>
            </w:pict>
          </mc:Fallback>
        </mc:AlternateContent>
      </w:r>
      <w:r>
        <w:rPr>
          <w:rFonts w:hint="eastAsia" w:ascii="仿宋_GB2312" w:eastAsia="仿宋_GB2312"/>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-4445</wp:posOffset>
                </wp:positionV>
                <wp:extent cx="5615940" cy="0"/>
                <wp:effectExtent l="0" t="0" r="0" b="0"/>
                <wp:wrapNone/>
                <wp:docPr id="4" name="直线 3"/>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直线 3" o:spid="_x0000_s1026" o:spt="20" style="position:absolute;left:0pt;margin-left:0pt;margin-top:-0.35pt;height:0pt;width:442.2pt;z-index:251659264;mso-width-relative:page;mso-height-relative:page;" filled="f" stroked="t" coordsize="21600,21600" o:gfxdata="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3uvYF1AAAAAQBAAAPAAAAAAAAAAEAIAAAACIAAABkcnMv&#10;ZG93bnJldi54bWxQSwECFAAUAAAACACHTuJAomPUKc4BAACOAwAADgAAAAAAAAABACAAAAAjAQAA&#10;ZHJzL2Uyb0RvYy54bWxQSwUGAAAAAAYABgBZAQAAYwUAAAAA&#10;">
                <v:fill on="f" focussize="0,0"/>
                <v:stroke weight="1pt" color="#000000" joinstyle="round"/>
                <v:imagedata o:title=""/>
                <o:lock v:ext="edit" aspectratio="f"/>
              </v:line>
            </w:pict>
          </mc:Fallback>
        </mc:AlternateContent>
      </w:r>
      <w:r>
        <w:rPr>
          <w:rFonts w:hint="eastAsia" w:ascii="仿宋_GB2312" w:eastAsia="仿宋_GB2312"/>
          <w:color w:val="auto"/>
          <w:sz w:val="28"/>
          <w:szCs w:val="28"/>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374015</wp:posOffset>
                </wp:positionV>
                <wp:extent cx="5615940" cy="0"/>
                <wp:effectExtent l="0" t="0" r="0" b="0"/>
                <wp:wrapNone/>
                <wp:docPr id="5" name="直线 4"/>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0pt;margin-top:29.45pt;height:0pt;width:442.2pt;z-index:251658240;mso-width-relative:page;mso-height-relative:page;" filled="f" stroked="t" coordsize="21600,21600" o:gfxdata="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SQLbdYAAAAGAQAADwAAAAAAAAABACAAAAAiAAAAZHJz&#10;L2Rvd25yZXYueG1sUEsBAhQAFAAAAAgAh07iQEH+TFfNAQAAjgMAAA4AAAAAAAAAAQAgAAAAJQEA&#10;AGRycy9lMm9Eb2MueG1sUEsFBgAAAAAGAAYAWQEAAGQFAAAAAA==&#10;">
                <v:fill on="f" focussize="0,0"/>
                <v:stroke weight="1pt" color="#000000" joinstyle="round"/>
                <v:imagedata o:title=""/>
                <o:lock v:ext="edit" aspectratio="f"/>
              </v:line>
            </w:pict>
          </mc:Fallback>
        </mc:AlternateContent>
      </w:r>
      <w:r>
        <w:rPr>
          <w:rFonts w:hint="eastAsia" w:ascii="仿宋_GB2312" w:eastAsia="仿宋_GB2312"/>
          <w:color w:val="auto"/>
          <w:sz w:val="28"/>
          <w:szCs w:val="28"/>
        </w:rPr>
        <w:t xml:space="preserve">山东省人力资源和社会保障厅办公室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bookmarkStart w:id="0" w:name="_GoBack"/>
      <w:bookmarkEnd w:id="0"/>
      <w:r>
        <w:rPr>
          <w:rFonts w:hint="eastAsia" w:ascii="仿宋_GB2312" w:eastAsia="仿宋_GB2312"/>
          <w:color w:val="auto"/>
          <w:sz w:val="28"/>
          <w:szCs w:val="28"/>
        </w:rPr>
        <w:t xml:space="preserve"> 2022年</w:t>
      </w:r>
      <w:r>
        <w:rPr>
          <w:rFonts w:hint="eastAsia" w:ascii="仿宋_GB2312" w:eastAsia="仿宋_GB2312"/>
          <w:color w:val="auto"/>
          <w:sz w:val="28"/>
          <w:szCs w:val="28"/>
          <w:lang w:val="en-US" w:eastAsia="zh-CN"/>
        </w:rPr>
        <w:t>11</w:t>
      </w:r>
      <w:r>
        <w:rPr>
          <w:rFonts w:hint="eastAsia" w:ascii="仿宋_GB2312" w:eastAsia="仿宋_GB2312"/>
          <w:color w:val="auto"/>
          <w:sz w:val="28"/>
          <w:szCs w:val="28"/>
        </w:rPr>
        <w:t>月</w:t>
      </w:r>
      <w:r>
        <w:rPr>
          <w:rFonts w:hint="eastAsia" w:ascii="仿宋_GB2312" w:eastAsia="仿宋_GB2312"/>
          <w:color w:val="auto"/>
          <w:sz w:val="28"/>
          <w:szCs w:val="28"/>
          <w:lang w:val="en-US" w:eastAsia="zh-CN"/>
        </w:rPr>
        <w:t>10</w:t>
      </w:r>
      <w:r>
        <w:rPr>
          <w:rFonts w:hint="eastAsia" w:ascii="仿宋_GB2312" w:eastAsia="仿宋_GB2312"/>
          <w:color w:val="auto"/>
          <w:sz w:val="28"/>
          <w:szCs w:val="28"/>
        </w:rPr>
        <w:t>日印发</w:t>
      </w:r>
    </w:p>
    <w:p>
      <w:pPr>
        <w:keepNext w:val="0"/>
        <w:keepLines w:val="0"/>
        <w:pageBreakBefore w:val="0"/>
        <w:widowControl/>
        <w:kinsoku/>
        <w:wordWrap/>
        <w:overflowPunct/>
        <w:topLinePunct w:val="0"/>
        <w:autoSpaceDE/>
        <w:autoSpaceDN/>
        <w:bidi w:val="0"/>
        <w:adjustRightInd w:val="0"/>
        <w:snapToGrid w:val="0"/>
        <w:spacing w:line="540" w:lineRule="exact"/>
        <w:ind w:left="0" w:leftChars="0" w:right="552" w:firstLine="276" w:firstLineChars="100"/>
        <w:jc w:val="left"/>
        <w:textAlignment w:val="auto"/>
        <w:outlineLvl w:val="9"/>
        <w:rPr>
          <w:rFonts w:hint="eastAsia" w:ascii="仿宋_GB2312" w:eastAsia="仿宋_GB2312"/>
          <w:color w:val="auto"/>
          <w:sz w:val="28"/>
          <w:szCs w:val="28"/>
          <w:lang w:eastAsia="zh-CN"/>
        </w:rPr>
      </w:pPr>
      <w:r>
        <w:rPr>
          <w:rFonts w:hint="eastAsia" w:ascii="仿宋_GB2312" w:eastAsia="仿宋_GB2312"/>
          <w:color w:val="auto"/>
          <w:sz w:val="28"/>
          <w:szCs w:val="28"/>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399415</wp:posOffset>
                </wp:positionV>
                <wp:extent cx="5615940" cy="0"/>
                <wp:effectExtent l="0" t="0" r="0" b="0"/>
                <wp:wrapNone/>
                <wp:docPr id="6" name="直线 4"/>
                <wp:cNvGraphicFramePr/>
                <a:graphic xmlns:a="http://schemas.openxmlformats.org/drawingml/2006/main">
                  <a:graphicData uri="http://schemas.microsoft.com/office/word/2010/wordprocessingShape">
                    <wps:wsp>
                      <wps:cNvCnPr/>
                      <wps:spPr>
                        <a:xfrm>
                          <a:off x="0" y="0"/>
                          <a:ext cx="5615940" cy="0"/>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0pt;margin-top:31.45pt;height:0pt;width:442.2pt;z-index:251661312;mso-width-relative:page;mso-height-relative:page;" filled="f" stroked="t" coordsize="21600,21600" o:gfxdata="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&#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0TTuA1gAAAAYBAAAPAAAAAAAAAAEAIAAAACIAAABk&#10;cnMvZG93bnJldi54bWxQSwECFAAUAAAACACHTuJAZxeIVM8BAACOAwAADgAAAAAAAAABACAAAAAl&#10;AQAAZHJzL2Uyb0RvYy54bWxQSwUGAAAAAAYABgBZAQAAZgUAAAAA&#10;">
                <v:fill on="f" focussize="0,0"/>
                <v:stroke weight="1.25pt" color="#000000" joinstyle="round"/>
                <v:imagedata o:title=""/>
                <o:lock v:ext="edit" aspectratio="f"/>
              </v:line>
            </w:pict>
          </mc:Fallback>
        </mc:AlternateContent>
      </w:r>
      <w:r>
        <w:rPr>
          <w:rFonts w:hint="eastAsia" w:ascii="仿宋_GB2312" w:eastAsia="仿宋_GB2312"/>
          <w:color w:val="auto"/>
          <w:sz w:val="28"/>
          <w:szCs w:val="28"/>
        </w:rPr>
        <w:t>校核人：</w:t>
      </w:r>
      <w:r>
        <w:rPr>
          <w:rFonts w:hint="eastAsia" w:ascii="仿宋_GB2312" w:hAnsi="仿宋_GB2312" w:eastAsia="仿宋_GB2312" w:cs="仿宋_GB2312"/>
          <w:i w:val="0"/>
          <w:caps w:val="0"/>
          <w:color w:val="auto"/>
          <w:spacing w:val="0"/>
          <w:sz w:val="28"/>
          <w:szCs w:val="28"/>
          <w:shd w:val="clear" w:fill="FFFFFF"/>
        </w:rPr>
        <w:t>绪涛</w:t>
      </w:r>
    </w:p>
    <w:sectPr>
      <w:footerReference r:id="rId4" w:type="default"/>
      <w:pgSz w:w="11906" w:h="16838"/>
      <w:pgMar w:top="2098" w:right="1531" w:bottom="1814" w:left="1531" w:header="851" w:footer="1587" w:gutter="0"/>
      <w:pgNumType w:fmt="decimal"/>
      <w:cols w:space="425" w:num="1"/>
      <w:rtlGutter w:val="0"/>
      <w:docGrid w:type="linesAndChars" w:linePitch="587"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287" w:usb1="00000000" w:usb2="00000000" w:usb3="00000000" w:csb0="4000009F" w:csb1="DFD7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0287" w:usb1="00000000" w:usb2="00000000" w:usb3="00000000" w:csb0="4000009F" w:csb1="DFD7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287" w:usb1="00000000" w:usb2="00000000" w:usb3="00000000" w:csb0="4000009F" w:csb1="DFD7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00000287" w:usb1="00000000" w:usb2="00000000" w:usb3="00000000" w:csb0="4000009F" w:csb1="DFD7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00000287" w:usb1="00000000" w:usb2="00000000" w:usb3="00000000" w:csb0="4000009F" w:csb1="DFD70000"/>
  </w:font>
  <w:font w:name="微软雅黑">
    <w:panose1 w:val="020B0503020204020204"/>
    <w:charset w:val="86"/>
    <w:family w:val="swiss"/>
    <w:pitch w:val="default"/>
    <w:sig w:usb0="80000287" w:usb1="280F3C52" w:usb2="00000016" w:usb3="00000000" w:csb0="0004001F" w:csb1="00000000"/>
  </w:font>
  <w:font w:name="叶根友特隶简体">
    <w:panose1 w:val="02010601030101010101"/>
    <w:charset w:val="86"/>
    <w:family w:val="auto"/>
    <w:pitch w:val="default"/>
    <w:sig w:usb0="00000001" w:usb1="080E0000" w:usb2="00000000" w:usb3="00000000" w:csb0="00040000" w:csb1="00000000"/>
  </w:font>
  <w:font w:name="叶根友疾风草书">
    <w:panose1 w:val="02010601030101010101"/>
    <w:charset w:val="86"/>
    <w:family w:val="auto"/>
    <w:pitch w:val="default"/>
    <w:sig w:usb0="00000001" w:usb1="080E0000" w:usb2="00000000" w:usb3="00000000" w:csb0="00040000" w:csb1="00000000"/>
  </w:font>
  <w:font w:name="叶根友空心简体">
    <w:panose1 w:val="02010601030101010101"/>
    <w:charset w:val="86"/>
    <w:family w:val="auto"/>
    <w:pitch w:val="default"/>
    <w:sig w:usb0="00000001" w:usb1="080E0000" w:usb2="00000000" w:usb3="00000000" w:csb0="00040000" w:csb1="00000000"/>
  </w:font>
  <w:font w:name="叶根友签名体">
    <w:panose1 w:val="02010601030101010101"/>
    <w:charset w:val="86"/>
    <w:family w:val="auto"/>
    <w:pitch w:val="default"/>
    <w:sig w:usb0="00000001" w:usb1="080E0000" w:usb2="00000000" w:usb3="00000000" w:csb0="00040000" w:csb1="00000000"/>
  </w:font>
  <w:font w:name="叶根友行书繁">
    <w:panose1 w:val="02010601030101010101"/>
    <w:charset w:val="86"/>
    <w:family w:val="auto"/>
    <w:pitch w:val="default"/>
    <w:sig w:usb0="00000001" w:usb1="080E0000" w:usb2="00000000" w:usb3="00000000" w:csb0="00040000" w:csb1="00000000"/>
  </w:font>
  <w:font w:name="叶根友钢笔行书升级版">
    <w:panose1 w:val="02010601030101010101"/>
    <w:charset w:val="86"/>
    <w:family w:val="auto"/>
    <w:pitch w:val="default"/>
    <w:sig w:usb0="00000001" w:usb1="080E0000" w:usb2="00000000" w:usb3="00000000" w:csb0="00040000" w:csb1="00000000"/>
  </w:font>
  <w:font w:name="叶根友非主流手">
    <w:panose1 w:val="02010601030101010101"/>
    <w:charset w:val="86"/>
    <w:family w:val="auto"/>
    <w:pitch w:val="default"/>
    <w:sig w:usb0="00000001" w:usb1="080E0000" w:usb2="00000000" w:usb3="00000000" w:csb0="00040000" w:csb1="00000000"/>
  </w:font>
  <w:font w:name="叶根友风帆特色">
    <w:panose1 w:val="02010601030101010101"/>
    <w:charset w:val="86"/>
    <w:family w:val="auto"/>
    <w:pitch w:val="default"/>
    <w:sig w:usb0="00000001" w:usb1="080E0000" w:usb2="00000000" w:usb3="00000000" w:csb0="00040000" w:csb1="00000000"/>
  </w:font>
  <w:font w:name="宋体-18030">
    <w:panose1 w:val="02010609060101010101"/>
    <w:charset w:val="86"/>
    <w:family w:val="auto"/>
    <w:pitch w:val="default"/>
    <w:sig w:usb0="800022A7" w:usb1="880F3C78" w:usb2="000A005E" w:usb3="00000000" w:csb0="00040001" w:csb1="00000000"/>
  </w:font>
  <w:font w:name="宋体-PUA">
    <w:panose1 w:val="02010600030101010101"/>
    <w:charset w:val="86"/>
    <w:family w:val="auto"/>
    <w:pitch w:val="default"/>
    <w:sig w:usb0="00000000" w:usb1="10000000" w:usb2="00000000" w:usb3="00000000" w:csb0="00040000" w:csb1="00000000"/>
  </w:font>
  <w:font w:name="幼圆">
    <w:panose1 w:val="02010509060101010101"/>
    <w:charset w:val="86"/>
    <w:family w:val="auto"/>
    <w:pitch w:val="default"/>
    <w:sig w:usb0="00000001" w:usb1="080E0000" w:usb2="00000000" w:usb3="00000000" w:csb0="00040000" w:csb1="00000000"/>
  </w:font>
  <w:font w:name="文星标宋">
    <w:panose1 w:val="02010609000101010101"/>
    <w:charset w:val="86"/>
    <w:family w:val="auto"/>
    <w:pitch w:val="default"/>
    <w:sig w:usb0="00000001" w:usb1="080E0000" w:usb2="00000000" w:usb3="00000000" w:csb0="00040000" w:csb1="00000000"/>
  </w:font>
  <w:font w:name="文鼎CS中等线">
    <w:panose1 w:val="02010609010101010101"/>
    <w:charset w:val="00"/>
    <w:family w:val="auto"/>
    <w:pitch w:val="default"/>
    <w:sig w:usb0="00000000" w:usb1="00000000" w:usb2="00000000" w:usb3="00000000" w:csb0="00000000" w:csb1="00000000"/>
  </w:font>
  <w:font w:name="新宋体-18030">
    <w:panose1 w:val="02010609060101010101"/>
    <w:charset w:val="86"/>
    <w:family w:val="auto"/>
    <w:pitch w:val="default"/>
    <w:sig w:usb0="800022A7" w:usb1="880F3C78" w:usb2="000A005E" w:usb3="00000000" w:csb0="00040001" w:csb1="00000000"/>
  </w:font>
  <w:font w:name="方正中雅宋简体">
    <w:panose1 w:val="02000000000000000000"/>
    <w:charset w:val="86"/>
    <w:family w:val="auto"/>
    <w:pitch w:val="default"/>
    <w:sig w:usb0="00000001" w:usb1="08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方正兰亭中黑_GBK">
    <w:panose1 w:val="02000000000000000000"/>
    <w:charset w:val="86"/>
    <w:family w:val="auto"/>
    <w:pitch w:val="default"/>
    <w:sig w:usb0="800002BF" w:usb1="38CF7CFA" w:usb2="00082016" w:usb3="00000000" w:csb0="00040000" w:csb1="00000000"/>
  </w:font>
  <w:font w:name="方正兰亭粗黑_GBK">
    <w:panose1 w:val="02000000000000000000"/>
    <w:charset w:val="86"/>
    <w:family w:val="auto"/>
    <w:pitch w:val="default"/>
    <w:sig w:usb0="00000001" w:usb1="08000000" w:usb2="00000000" w:usb3="00000000" w:csb0="00040000" w:csb1="00000000"/>
  </w:font>
  <w:font w:name="方正兰亭黑_GBK">
    <w:panose1 w:val="02000000000000000000"/>
    <w:charset w:val="86"/>
    <w:family w:val="auto"/>
    <w:pitch w:val="default"/>
    <w:sig w:usb0="00000001" w:usb1="0800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方正华隶繁体">
    <w:panose1 w:val="03000509000000000000"/>
    <w:charset w:val="86"/>
    <w:family w:val="auto"/>
    <w:pitch w:val="default"/>
    <w:sig w:usb0="00000001" w:usb1="080E0000" w:usb2="00000000" w:usb3="00000000" w:csb0="00040000" w:csb1="00000000"/>
  </w:font>
  <w:font w:name="方正启体繁体">
    <w:panose1 w:val="03000509000000000000"/>
    <w:charset w:val="86"/>
    <w:family w:val="auto"/>
    <w:pitch w:val="default"/>
    <w:sig w:usb0="00000001" w:usb1="080E0000" w:usb2="00000000" w:usb3="00000000" w:csb0="00040000" w:csb1="00000000"/>
  </w:font>
  <w:font w:name="方正报宋_GBK">
    <w:panose1 w:val="03000509000000000000"/>
    <w:charset w:val="86"/>
    <w:family w:val="auto"/>
    <w:pitch w:val="default"/>
    <w:sig w:usb0="00000001" w:usb1="080E0000" w:usb2="00000000" w:usb3="00000000" w:csb0="00040000" w:csb1="00000000"/>
  </w:font>
  <w:font w:name="方正新舒体_GBK">
    <w:panose1 w:val="03000509000000000000"/>
    <w:charset w:val="86"/>
    <w:family w:val="auto"/>
    <w:pitch w:val="default"/>
    <w:sig w:usb0="00000001" w:usb1="080E0000" w:usb2="00000000" w:usb3="00000000" w:csb0="00040000" w:csb1="00000000"/>
  </w:font>
  <w:font w:name="方正毡笔黑繁体">
    <w:panose1 w:val="03000509000000000000"/>
    <w:charset w:val="86"/>
    <w:family w:val="auto"/>
    <w:pitch w:val="default"/>
    <w:sig w:usb0="00000001" w:usb1="080E0000" w:usb2="00000000" w:usb3="00000000" w:csb0="00040000" w:csb1="00000000"/>
  </w:font>
  <w:font w:name="方正水黑繁体">
    <w:panose1 w:val="03000509000000000000"/>
    <w:charset w:val="86"/>
    <w:family w:val="auto"/>
    <w:pitch w:val="default"/>
    <w:sig w:usb0="00000001" w:usb1="080E0000" w:usb2="00000000" w:usb3="00000000" w:csb0="00040000" w:csb1="00000000"/>
  </w:font>
  <w:font w:name="方正流行体简体">
    <w:panose1 w:val="03000509000000000000"/>
    <w:charset w:val="86"/>
    <w:family w:val="auto"/>
    <w:pitch w:val="default"/>
    <w:sig w:usb0="00000001" w:usb1="080E0000" w:usb2="00000000" w:usb3="00000000" w:csb0="00040000" w:csb1="00000000"/>
  </w:font>
  <w:font w:name="经典隶书简">
    <w:panose1 w:val="02010609000101010101"/>
    <w:charset w:val="86"/>
    <w:family w:val="auto"/>
    <w:pitch w:val="default"/>
    <w:sig w:usb0="A1007AEF" w:usb1="F9DF7CFB" w:usb2="0000001E" w:usb3="00000000" w:csb0="20040000" w:csb1="00000000"/>
  </w:font>
  <w:font w:name="经典隶书繁">
    <w:panose1 w:val="02010609000101010101"/>
    <w:charset w:val="86"/>
    <w:family w:val="auto"/>
    <w:pitch w:val="default"/>
    <w:sig w:usb0="A1007AEF" w:usb1="F9DF7CFB" w:usb2="0000001E" w:usb3="00000000" w:csb0="20040000" w:csb1="00000000"/>
  </w:font>
  <w:font w:name="经典隶变简">
    <w:panose1 w:val="02010609010101010101"/>
    <w:charset w:val="86"/>
    <w:family w:val="auto"/>
    <w:pitch w:val="default"/>
    <w:sig w:usb0="A1007AEF" w:usb1="F9DF7CFB" w:usb2="0000001E" w:usb3="00000000" w:csb0="20040000" w:csb1="00000000"/>
  </w:font>
  <w:font w:name="经典魏碑繁">
    <w:panose1 w:val="02010609000101010101"/>
    <w:charset w:val="86"/>
    <w:family w:val="auto"/>
    <w:pitch w:val="default"/>
    <w:sig w:usb0="A1007AEF" w:usb1="F9DF7CFB" w:usb2="0000001E" w:usb3="00000000" w:csb0="20040000" w:csb1="00000000"/>
  </w:font>
  <w:font w:name="经典黑体简">
    <w:panose1 w:val="02010609000101010101"/>
    <w:charset w:val="86"/>
    <w:family w:val="auto"/>
    <w:pitch w:val="default"/>
    <w:sig w:usb0="A1007AEF" w:usb1="F9DF7CFB" w:usb2="0000001E" w:usb3="00000000" w:csb0="20040000" w:csb1="00000000"/>
  </w:font>
  <w:font w:name="草檀斋毛泽东字体">
    <w:panose1 w:val="02010601030101010101"/>
    <w:charset w:val="86"/>
    <w:family w:val="auto"/>
    <w:pitch w:val="default"/>
    <w:sig w:usb0="00000001" w:usb1="080E0000" w:usb2="00000000" w:usb3="00000000" w:csb0="00040000" w:csb1="00000000"/>
  </w:font>
  <w:font w:name="華康布丁體W7(P)">
    <w:panose1 w:val="040B0700000000000000"/>
    <w:charset w:val="88"/>
    <w:family w:val="auto"/>
    <w:pitch w:val="default"/>
    <w:sig w:usb0="80000001" w:usb1="28091800" w:usb2="00000016" w:usb3="00000000" w:csb0="00100000" w:csb1="00000000"/>
  </w:font>
  <w:font w:name="雅坊美工14">
    <w:panose1 w:val="02010609000101010101"/>
    <w:charset w:val="00"/>
    <w:family w:val="auto"/>
    <w:pitch w:val="default"/>
    <w:sig w:usb0="00000000" w:usb1="00000000" w:usb2="00000000" w:usb3="00000000" w:csb0="00000000" w:csb1="00000000"/>
  </w:font>
  <w:font w:name="方正楷体简体">
    <w:panose1 w:val="03000509000000000000"/>
    <w:charset w:val="86"/>
    <w:family w:val="auto"/>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公文小标宋">
    <w:altName w:val="宋体"/>
    <w:panose1 w:val="02000500000000000000"/>
    <w:charset w:val="86"/>
    <w:family w:val="auto"/>
    <w:pitch w:val="default"/>
    <w:sig w:usb0="00000000" w:usb1="00000000"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KW">
    <w:altName w:val="宋体"/>
    <w:panose1 w:val="00020600040101010101"/>
    <w:charset w:val="86"/>
    <w:family w:val="auto"/>
    <w:pitch w:val="default"/>
    <w:sig w:usb0="00000000" w:usb1="00000000" w:usb2="00000016" w:usb3="00000000" w:csb0="00040000" w:csb1="00000000"/>
  </w:font>
  <w:font w:name="新宋体">
    <w:panose1 w:val="02010609030101010101"/>
    <w:charset w:val="86"/>
    <w:family w:val="modern"/>
    <w:pitch w:val="default"/>
    <w:sig w:usb0="00000003" w:usb1="288F0000" w:usb2="00000006" w:usb3="00000000" w:csb0="00040001" w:csb1="00000000"/>
  </w:font>
  <w:font w:name="DejaVu Sans">
    <w:altName w:val="Segoe Print"/>
    <w:panose1 w:val="020B0606030804020204"/>
    <w:charset w:val="00"/>
    <w:family w:val="auto"/>
    <w:pitch w:val="default"/>
    <w:sig w:usb0="00000000" w:usb1="00000000" w:usb2="0A246029" w:usb3="0400200C" w:csb0="600001FF" w:csb1="DFFF0000"/>
  </w:font>
  <w:font w:name="Noto Sans Symbols2">
    <w:altName w:val="NumberOnly"/>
    <w:panose1 w:val="020B0502040504020204"/>
    <w:charset w:val="00"/>
    <w:family w:val="auto"/>
    <w:pitch w:val="default"/>
    <w:sig w:usb0="00000000" w:usb1="00000000" w:usb2="00040020" w:usb3="0580A048" w:csb0="00000001" w:csb1="00000000"/>
  </w:font>
  <w:font w:name="Segoe Print">
    <w:panose1 w:val="02000600000000000000"/>
    <w:charset w:val="00"/>
    <w:family w:val="auto"/>
    <w:pitch w:val="default"/>
    <w:sig w:usb0="0000028F" w:usb1="00000000" w:usb2="00000000" w:usb3="00000000" w:csb0="2000009F" w:csb1="47010000"/>
  </w:font>
  <w:font w:name="NumberOnly">
    <w:panose1 w:val="020B0500000000000000"/>
    <w:charset w:val="00"/>
    <w:family w:val="auto"/>
    <w:pitch w:val="default"/>
    <w:sig w:usb0="8000002F" w:usb1="10000048" w:usb2="00000000" w:usb3="00000000" w:csb0="00000111" w:csb1="40000000"/>
  </w:font>
  <w:font w:name="Helvetica Neue">
    <w:altName w:val="GENISO"/>
    <w:panose1 w:val="00000000000000000000"/>
    <w:charset w:val="00"/>
    <w:family w:val="auto"/>
    <w:pitch w:val="default"/>
    <w:sig w:usb0="00000000" w:usb1="00000000" w:usb2="00000000" w:usb3="00000000" w:csb0="00000000" w:csb1="00000000"/>
  </w:font>
  <w:font w:name="GENISO">
    <w:panose1 w:val="02000400000000000000"/>
    <w:charset w:val="00"/>
    <w:family w:val="auto"/>
    <w:pitch w:val="default"/>
    <w:sig w:usb0="00000003" w:usb1="00000000" w:usb2="00000040" w:usb3="00000000" w:csb0="000001FF" w:csb1="00000000"/>
  </w:font>
  <w:font w:name="书体坊安景臣钢笔行书">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01007A87" w:usb1="80000000" w:usb2="00000008" w:usb3="00000000" w:csb0="200101FF" w:csb1="20280000"/>
  </w:font>
  <w:font w:name="Verdana">
    <w:panose1 w:val="020B060403050404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val="0"/>
                            <w:spacing w:line="240" w:lineRule="auto"/>
                            <w:ind w:left="320" w:leftChars="100" w:right="320" w:rightChars="100" w:firstLine="0" w:firstLineChars="0"/>
                            <w:jc w:val="both"/>
                            <w:textAlignment w:val="auto"/>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320" w:leftChars="100" w:right="320" w:rightChars="100" w:firstLine="0" w:firstLineChars="0"/>
                      <w:jc w:val="both"/>
                      <w:textAlignment w:val="auto"/>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val="0"/>
                            <w:spacing w:line="240" w:lineRule="auto"/>
                            <w:ind w:left="320" w:leftChars="100" w:right="320" w:rightChars="100" w:firstLine="0" w:firstLineChars="0"/>
                            <w:jc w:val="both"/>
                            <w:textAlignment w:val="auto"/>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320" w:leftChars="100" w:right="320" w:rightChars="100" w:firstLine="0" w:firstLineChars="0"/>
                      <w:jc w:val="both"/>
                      <w:textAlignment w:val="auto"/>
                      <w:outlineLvl w:val="9"/>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58"/>
  <w:drawingGridVerticalSpacing w:val="294"/>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D20"/>
    <w:rsid w:val="0002138E"/>
    <w:rsid w:val="00042B38"/>
    <w:rsid w:val="002316AA"/>
    <w:rsid w:val="002A63C7"/>
    <w:rsid w:val="002C6784"/>
    <w:rsid w:val="002D7272"/>
    <w:rsid w:val="002E66BB"/>
    <w:rsid w:val="00427554"/>
    <w:rsid w:val="00433D21"/>
    <w:rsid w:val="004F7D20"/>
    <w:rsid w:val="00690E21"/>
    <w:rsid w:val="0079008A"/>
    <w:rsid w:val="007B39EB"/>
    <w:rsid w:val="007F3D4C"/>
    <w:rsid w:val="0081463A"/>
    <w:rsid w:val="00837870"/>
    <w:rsid w:val="00887F01"/>
    <w:rsid w:val="009208FE"/>
    <w:rsid w:val="00A61148"/>
    <w:rsid w:val="00A9642D"/>
    <w:rsid w:val="00C16EC3"/>
    <w:rsid w:val="00CC7713"/>
    <w:rsid w:val="00D6783A"/>
    <w:rsid w:val="00E24340"/>
    <w:rsid w:val="00E875B1"/>
    <w:rsid w:val="00F04B48"/>
    <w:rsid w:val="00F27200"/>
    <w:rsid w:val="00F84370"/>
    <w:rsid w:val="00FB174D"/>
    <w:rsid w:val="011C7710"/>
    <w:rsid w:val="023F3B86"/>
    <w:rsid w:val="04127125"/>
    <w:rsid w:val="04210422"/>
    <w:rsid w:val="04727FE1"/>
    <w:rsid w:val="062C1D5D"/>
    <w:rsid w:val="07545C8B"/>
    <w:rsid w:val="07F04AC8"/>
    <w:rsid w:val="0AED2376"/>
    <w:rsid w:val="0B0C55F2"/>
    <w:rsid w:val="0B1F2931"/>
    <w:rsid w:val="0BA17C1F"/>
    <w:rsid w:val="0C4A4B3E"/>
    <w:rsid w:val="0D5944C1"/>
    <w:rsid w:val="0F394399"/>
    <w:rsid w:val="0F936025"/>
    <w:rsid w:val="10994AD4"/>
    <w:rsid w:val="116D1924"/>
    <w:rsid w:val="118C7CDA"/>
    <w:rsid w:val="11A14CF9"/>
    <w:rsid w:val="123477AE"/>
    <w:rsid w:val="124E082C"/>
    <w:rsid w:val="124F58B0"/>
    <w:rsid w:val="12960AF6"/>
    <w:rsid w:val="1400150F"/>
    <w:rsid w:val="14883CE4"/>
    <w:rsid w:val="14BF0868"/>
    <w:rsid w:val="15701CF4"/>
    <w:rsid w:val="15B02CE1"/>
    <w:rsid w:val="16366922"/>
    <w:rsid w:val="166D0255"/>
    <w:rsid w:val="168D6ECE"/>
    <w:rsid w:val="16DC2229"/>
    <w:rsid w:val="17E47F4A"/>
    <w:rsid w:val="182A550A"/>
    <w:rsid w:val="183E277D"/>
    <w:rsid w:val="19AB3BCE"/>
    <w:rsid w:val="19D352A9"/>
    <w:rsid w:val="1BB10789"/>
    <w:rsid w:val="1CA22EFE"/>
    <w:rsid w:val="1CC262A1"/>
    <w:rsid w:val="1CEA6DC8"/>
    <w:rsid w:val="1D9B5BA0"/>
    <w:rsid w:val="2107241D"/>
    <w:rsid w:val="213A1EFC"/>
    <w:rsid w:val="21653CA1"/>
    <w:rsid w:val="22F46B0B"/>
    <w:rsid w:val="22F603BD"/>
    <w:rsid w:val="23FA53B2"/>
    <w:rsid w:val="245026FE"/>
    <w:rsid w:val="251A606C"/>
    <w:rsid w:val="252C3E51"/>
    <w:rsid w:val="269D3F26"/>
    <w:rsid w:val="273B0524"/>
    <w:rsid w:val="28C12023"/>
    <w:rsid w:val="29B65CC2"/>
    <w:rsid w:val="2BC0799B"/>
    <w:rsid w:val="2C727500"/>
    <w:rsid w:val="2DA059F0"/>
    <w:rsid w:val="2ECE6E05"/>
    <w:rsid w:val="30977550"/>
    <w:rsid w:val="3204469A"/>
    <w:rsid w:val="324D14AE"/>
    <w:rsid w:val="32AB4277"/>
    <w:rsid w:val="32AD77DF"/>
    <w:rsid w:val="3336079B"/>
    <w:rsid w:val="35E72827"/>
    <w:rsid w:val="365A1173"/>
    <w:rsid w:val="367510C5"/>
    <w:rsid w:val="387C1143"/>
    <w:rsid w:val="3A1B348F"/>
    <w:rsid w:val="3A4C7246"/>
    <w:rsid w:val="3BA51644"/>
    <w:rsid w:val="3CE22C6D"/>
    <w:rsid w:val="3DB941F3"/>
    <w:rsid w:val="3E22381C"/>
    <w:rsid w:val="3E7F6702"/>
    <w:rsid w:val="3FD30D37"/>
    <w:rsid w:val="4190718B"/>
    <w:rsid w:val="428C20E7"/>
    <w:rsid w:val="44790BCC"/>
    <w:rsid w:val="44BD6E6B"/>
    <w:rsid w:val="44DF2B9B"/>
    <w:rsid w:val="45B603FC"/>
    <w:rsid w:val="463669C0"/>
    <w:rsid w:val="466121A9"/>
    <w:rsid w:val="47102C58"/>
    <w:rsid w:val="49030F61"/>
    <w:rsid w:val="49A31040"/>
    <w:rsid w:val="49BE1FCC"/>
    <w:rsid w:val="4AB83D59"/>
    <w:rsid w:val="4C6A73F9"/>
    <w:rsid w:val="4C707ADC"/>
    <w:rsid w:val="4D5647D4"/>
    <w:rsid w:val="4D7C149C"/>
    <w:rsid w:val="4FC26CCB"/>
    <w:rsid w:val="51744870"/>
    <w:rsid w:val="51CB50FA"/>
    <w:rsid w:val="52FC0D7E"/>
    <w:rsid w:val="556E6F82"/>
    <w:rsid w:val="55C8296B"/>
    <w:rsid w:val="56736900"/>
    <w:rsid w:val="5731202E"/>
    <w:rsid w:val="57543A22"/>
    <w:rsid w:val="598505D0"/>
    <w:rsid w:val="5A5D5CA7"/>
    <w:rsid w:val="5A626535"/>
    <w:rsid w:val="5AAE54AC"/>
    <w:rsid w:val="5B4664AC"/>
    <w:rsid w:val="5BCC0C7F"/>
    <w:rsid w:val="5BE61C73"/>
    <w:rsid w:val="5EC449F7"/>
    <w:rsid w:val="5F4C3C5D"/>
    <w:rsid w:val="603F1CF4"/>
    <w:rsid w:val="60987717"/>
    <w:rsid w:val="63CD6498"/>
    <w:rsid w:val="64123AB3"/>
    <w:rsid w:val="64D07265"/>
    <w:rsid w:val="65DD65F1"/>
    <w:rsid w:val="6804185D"/>
    <w:rsid w:val="687964B4"/>
    <w:rsid w:val="691F2063"/>
    <w:rsid w:val="6D2133A7"/>
    <w:rsid w:val="6E881707"/>
    <w:rsid w:val="6F1F5EA7"/>
    <w:rsid w:val="712512C9"/>
    <w:rsid w:val="720816C1"/>
    <w:rsid w:val="721A5E4B"/>
    <w:rsid w:val="728075BE"/>
    <w:rsid w:val="73D9594F"/>
    <w:rsid w:val="73DA5990"/>
    <w:rsid w:val="74C57B85"/>
    <w:rsid w:val="759D0BED"/>
    <w:rsid w:val="76322FC3"/>
    <w:rsid w:val="77060BD4"/>
    <w:rsid w:val="77507707"/>
    <w:rsid w:val="7A011CEE"/>
    <w:rsid w:val="7A3A2465"/>
    <w:rsid w:val="7B4A448C"/>
    <w:rsid w:val="7B656050"/>
    <w:rsid w:val="7B6A2B6F"/>
    <w:rsid w:val="7C0539AA"/>
    <w:rsid w:val="7C0E7C36"/>
    <w:rsid w:val="7EE169A2"/>
    <w:rsid w:val="7F7457A1"/>
    <w:rsid w:val="7FF67CB8"/>
    <w:rsid w:val="B29B1B1F"/>
    <w:rsid w:val="BFFB3379"/>
    <w:rsid w:val="DD1F1AD6"/>
    <w:rsid w:val="E78636F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32"/>
      <w:szCs w:val="22"/>
      <w:lang w:val="en-US" w:eastAsia="zh-CN" w:bidi="ar-SA"/>
    </w:rPr>
  </w:style>
  <w:style w:type="character" w:default="1" w:styleId="8">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3"/>
    <w:unhideWhenUsed/>
    <w:uiPriority w:val="99"/>
    <w:pPr>
      <w:spacing w:after="120" w:afterLines="0" w:line="240" w:lineRule="auto"/>
      <w:ind w:firstLine="0" w:firstLineChars="0"/>
    </w:pPr>
    <w:rPr>
      <w:rFonts w:ascii="Times New Roman" w:hAnsi="Times New Roman"/>
      <w:color w:val="auto"/>
      <w:szCs w:val="20"/>
    </w:rPr>
  </w:style>
  <w:style w:type="paragraph" w:styleId="3">
    <w:name w:val="toc 5"/>
    <w:basedOn w:val="1"/>
    <w:next w:val="1"/>
    <w:unhideWhenUsed/>
    <w:uiPriority w:val="39"/>
    <w:pPr>
      <w:ind w:left="1680"/>
    </w:pPr>
  </w:style>
  <w:style w:type="paragraph" w:styleId="4">
    <w:name w:val="annotation text"/>
    <w:basedOn w:val="1"/>
    <w:unhideWhenUsed/>
    <w:qFormat/>
    <w:uiPriority w:val="99"/>
    <w:pPr>
      <w:jc w:val="left"/>
    </w:pPr>
  </w:style>
  <w:style w:type="paragraph" w:styleId="5">
    <w:name w:val="Plain Text"/>
    <w:basedOn w:val="1"/>
    <w:qFormat/>
    <w:uiPriority w:val="0"/>
    <w:rPr>
      <w:rFonts w:ascii="宋体" w:hAnsi="Courier New" w:cs="Courier New"/>
      <w:szCs w:val="21"/>
    </w:rPr>
  </w:style>
  <w:style w:type="paragraph" w:styleId="6">
    <w:name w:val="footer"/>
    <w:basedOn w:val="1"/>
    <w:link w:val="11"/>
    <w:unhideWhenUsed/>
    <w:qFormat/>
    <w:uiPriority w:val="99"/>
    <w:pPr>
      <w:tabs>
        <w:tab w:val="center" w:pos="4153"/>
        <w:tab w:val="right" w:pos="8306"/>
      </w:tabs>
      <w:snapToGrid w:val="0"/>
      <w:jc w:val="left"/>
    </w:pPr>
    <w:rPr>
      <w:sz w:val="18"/>
      <w:szCs w:val="18"/>
    </w:rPr>
  </w:style>
  <w:style w:type="paragraph" w:styleId="7">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0">
    <w:name w:val="页眉 Char"/>
    <w:basedOn w:val="8"/>
    <w:link w:val="7"/>
    <w:qFormat/>
    <w:uiPriority w:val="99"/>
    <w:rPr>
      <w:sz w:val="18"/>
      <w:szCs w:val="18"/>
    </w:rPr>
  </w:style>
  <w:style w:type="character" w:customStyle="1" w:styleId="11">
    <w:name w:val="页脚 Char"/>
    <w:basedOn w:val="8"/>
    <w:link w:val="6"/>
    <w:qFormat/>
    <w:uiPriority w:val="99"/>
    <w:rPr>
      <w:sz w:val="18"/>
      <w:szCs w:val="18"/>
    </w:rPr>
  </w:style>
  <w:style w:type="paragraph" w:customStyle="1"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微软中国</Company>
  <Pages>4</Pages>
  <Words>212</Words>
  <Characters>1214</Characters>
  <Lines>10</Lines>
  <Paragraphs>2</Paragraphs>
  <ScaleCrop>false</ScaleCrop>
  <LinksUpToDate>false</LinksUpToDate>
  <CharactersWithSpaces>1424</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2022-03-26T01:39:00Z</dcterms:created>
  <dc:creator>微软用户</dc:creator>
  <cp:lastModifiedBy>人社厅文印室</cp:lastModifiedBy>
  <cp:lastPrinted>2022-11-02T03:03:00Z</cp:lastPrinted>
  <dcterms:modified xsi:type="dcterms:W3CDTF">2022-11-10T06:09:31Z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